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3E823" w14:textId="0A8DD91B" w:rsidR="00744D51" w:rsidRPr="0052548E" w:rsidRDefault="00744D51" w:rsidP="00744D5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E65E20" w:rsidRPr="00E65E20">
        <w:rPr>
          <w:rFonts w:ascii="Arial" w:hAnsi="Arial" w:cs="Arial"/>
          <w:b/>
          <w:bCs/>
          <w:sz w:val="28"/>
        </w:rPr>
        <w:t>1912878</w:t>
      </w:r>
    </w:p>
    <w:p w14:paraId="49DD4DF9" w14:textId="77777777" w:rsidR="00744D51" w:rsidRPr="009513AC" w:rsidRDefault="00744D51" w:rsidP="00744D51">
      <w:pPr>
        <w:tabs>
          <w:tab w:val="center" w:pos="4536"/>
          <w:tab w:val="right" w:pos="9072"/>
        </w:tabs>
        <w:rPr>
          <w:rFonts w:ascii="Arial" w:eastAsia="ＭＳ 明朝" w:hAnsi="Arial" w:cs="Arial"/>
          <w:b/>
          <w:bCs/>
          <w:sz w:val="28"/>
        </w:rPr>
      </w:pPr>
      <w:r>
        <w:rPr>
          <w:rFonts w:ascii="Arial" w:eastAsia="ＭＳ 明朝" w:hAnsi="Arial" w:cs="Arial" w:hint="eastAsia"/>
          <w:b/>
          <w:bCs/>
          <w:sz w:val="28"/>
        </w:rPr>
        <w:t>Reno</w:t>
      </w:r>
      <w:r>
        <w:rPr>
          <w:rFonts w:ascii="Arial" w:eastAsia="ＭＳ 明朝" w:hAnsi="Arial" w:cs="Arial"/>
          <w:b/>
          <w:bCs/>
          <w:sz w:val="28"/>
        </w:rPr>
        <w:t xml:space="preserve">, </w:t>
      </w:r>
      <w:r>
        <w:rPr>
          <w:rFonts w:ascii="Arial" w:eastAsia="ＭＳ 明朝" w:hAnsi="Arial" w:cs="Arial" w:hint="eastAsia"/>
          <w:b/>
          <w:bCs/>
          <w:sz w:val="28"/>
        </w:rPr>
        <w:t>USA</w:t>
      </w:r>
      <w:r>
        <w:rPr>
          <w:rFonts w:ascii="Arial" w:eastAsia="ＭＳ 明朝" w:hAnsi="Arial" w:cs="Arial"/>
          <w:b/>
          <w:bCs/>
          <w:sz w:val="28"/>
        </w:rPr>
        <w:t xml:space="preserve">, </w:t>
      </w:r>
      <w:r>
        <w:rPr>
          <w:rFonts w:ascii="Arial" w:eastAsia="ＭＳ 明朝" w:hAnsi="Arial" w:cs="Arial" w:hint="eastAsia"/>
          <w:b/>
          <w:bCs/>
          <w:sz w:val="28"/>
        </w:rPr>
        <w:t>November</w:t>
      </w:r>
      <w:r>
        <w:rPr>
          <w:rFonts w:ascii="Arial" w:eastAsia="ＭＳ 明朝" w:hAnsi="Arial" w:cs="Arial"/>
          <w:b/>
          <w:bCs/>
          <w:sz w:val="28"/>
        </w:rPr>
        <w:t xml:space="preserve"> 18</w:t>
      </w:r>
      <w:r w:rsidRPr="006B19B1">
        <w:rPr>
          <w:rFonts w:ascii="Arial" w:eastAsia="ＭＳ 明朝" w:hAnsi="Arial" w:cs="Arial"/>
          <w:b/>
          <w:bCs/>
          <w:sz w:val="28"/>
          <w:vertAlign w:val="superscript"/>
        </w:rPr>
        <w:t>th</w:t>
      </w:r>
      <w:r>
        <w:rPr>
          <w:rFonts w:ascii="Arial" w:eastAsia="ＭＳ 明朝" w:hAnsi="Arial" w:cs="Arial"/>
          <w:b/>
          <w:bCs/>
          <w:sz w:val="28"/>
        </w:rPr>
        <w:t xml:space="preserve"> – 22</w:t>
      </w:r>
      <w:r>
        <w:rPr>
          <w:rFonts w:ascii="Arial" w:eastAsia="ＭＳ 明朝" w:hAnsi="Arial" w:cs="Arial"/>
          <w:b/>
          <w:bCs/>
          <w:sz w:val="28"/>
          <w:vertAlign w:val="superscript"/>
        </w:rPr>
        <w:t>nd</w:t>
      </w:r>
      <w:r>
        <w:rPr>
          <w:rFonts w:ascii="Arial" w:eastAsia="ＭＳ 明朝" w:hAnsi="Arial" w:cs="Arial"/>
          <w:b/>
          <w:bCs/>
          <w:sz w:val="28"/>
        </w:rPr>
        <w:t>, 2019</w:t>
      </w:r>
    </w:p>
    <w:p w14:paraId="0B31F29E" w14:textId="77777777" w:rsidR="008A34D9" w:rsidRPr="00744D51"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D1184" w14:textId="1130E28B"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 xml:space="preserve">1 </w:t>
      </w:r>
      <w:r w:rsidR="004A59EE">
        <w:rPr>
          <w:rFonts w:eastAsia="ＭＳ 明朝" w:hint="eastAsia"/>
          <w:sz w:val="22"/>
          <w:szCs w:val="22"/>
          <w:lang w:val="en-US"/>
        </w:rPr>
        <w:t>#</w:t>
      </w:r>
      <w:r w:rsidR="004A59EE">
        <w:rPr>
          <w:rFonts w:eastAsia="ＭＳ 明朝"/>
          <w:sz w:val="22"/>
          <w:szCs w:val="22"/>
          <w:lang w:val="en-US"/>
        </w:rPr>
        <w:t>9</w:t>
      </w:r>
      <w:r w:rsidR="00F66735">
        <w:rPr>
          <w:rFonts w:eastAsia="ＭＳ 明朝"/>
          <w:sz w:val="22"/>
          <w:szCs w:val="22"/>
          <w:lang w:val="en-US"/>
        </w:rPr>
        <w:t>8</w:t>
      </w:r>
      <w:r w:rsidR="00A67608">
        <w:rPr>
          <w:rFonts w:eastAsia="ＭＳ 明朝"/>
          <w:sz w:val="22"/>
          <w:szCs w:val="22"/>
          <w:lang w:val="en-US"/>
        </w:rPr>
        <w:t>bis</w:t>
      </w:r>
      <w:r w:rsidRPr="00B1697C">
        <w:rPr>
          <w:rFonts w:eastAsia="ＭＳ 明朝"/>
          <w:sz w:val="22"/>
          <w:szCs w:val="22"/>
          <w:lang w:val="en-US"/>
        </w:rPr>
        <w:t xml:space="preserve">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w:t>
      </w:r>
      <w:r w:rsidR="00F66735">
        <w:rPr>
          <w:rFonts w:eastAsia="ＭＳ 明朝"/>
          <w:sz w:val="22"/>
          <w:szCs w:val="22"/>
          <w:lang w:val="en-US"/>
        </w:rPr>
        <w:t>scussed and following agreement/conclusion</w:t>
      </w:r>
      <w:r w:rsidRPr="00B1697C">
        <w:rPr>
          <w:rFonts w:eastAsia="ＭＳ 明朝"/>
          <w:sz w:val="22"/>
          <w:szCs w:val="22"/>
          <w:lang w:val="en-US"/>
        </w:rPr>
        <w:t xml:space="preserve">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DF2AAE9" w14:textId="77777777" w:rsidR="002E7DF9" w:rsidRPr="002E7DF9" w:rsidRDefault="002E7DF9" w:rsidP="002E7DF9">
            <w:pPr>
              <w:spacing w:after="0"/>
              <w:rPr>
                <w:rFonts w:ascii="Times" w:eastAsia="Batang" w:hAnsi="Times"/>
                <w:sz w:val="20"/>
                <w:szCs w:val="24"/>
                <w:lang w:eastAsia="en-US"/>
              </w:rPr>
            </w:pPr>
            <w:r w:rsidRPr="002E7DF9">
              <w:rPr>
                <w:rFonts w:ascii="Times" w:eastAsia="Batang" w:hAnsi="Times"/>
                <w:sz w:val="20"/>
                <w:szCs w:val="24"/>
                <w:highlight w:val="green"/>
                <w:lang w:eastAsia="en-US"/>
              </w:rPr>
              <w:t>Agreement:</w:t>
            </w:r>
          </w:p>
          <w:p w14:paraId="219384B0" w14:textId="77777777" w:rsidR="002E7DF9" w:rsidRPr="002E7DF9" w:rsidRDefault="002E7DF9" w:rsidP="002E7DF9">
            <w:pPr>
              <w:spacing w:after="0"/>
              <w:jc w:val="both"/>
              <w:rPr>
                <w:rFonts w:ascii="Times" w:eastAsia="Batang" w:hAnsi="Times"/>
                <w:sz w:val="20"/>
                <w:szCs w:val="24"/>
                <w:lang w:eastAsia="x-none"/>
              </w:rPr>
            </w:pPr>
            <w:r w:rsidRPr="002E7DF9">
              <w:rPr>
                <w:rFonts w:ascii="Times" w:eastAsia="Batang" w:hAnsi="Times"/>
                <w:sz w:val="20"/>
                <w:szCs w:val="24"/>
                <w:lang w:eastAsia="x-none"/>
              </w:rPr>
              <w:t>For a search space set configuration associated with multiple monitoring locations in the frequency domain (as per the previous agreement defining such a search space set associated with a CORESET confined within an LBT bandwidth):</w:t>
            </w:r>
          </w:p>
          <w:p w14:paraId="335617D3" w14:textId="77777777" w:rsidR="002E7DF9" w:rsidRPr="002E7DF9" w:rsidRDefault="002E7DF9" w:rsidP="002E7DF9">
            <w:pPr>
              <w:numPr>
                <w:ilvl w:val="0"/>
                <w:numId w:val="43"/>
              </w:numPr>
              <w:spacing w:after="0"/>
              <w:rPr>
                <w:rFonts w:ascii="Times" w:eastAsia="Batang" w:hAnsi="Times"/>
                <w:sz w:val="20"/>
                <w:szCs w:val="24"/>
                <w:lang w:eastAsia="en-US"/>
              </w:rPr>
            </w:pPr>
            <w:r w:rsidRPr="002E7DF9">
              <w:rPr>
                <w:rFonts w:ascii="Times" w:eastAsia="Batang" w:hAnsi="Times"/>
                <w:sz w:val="20"/>
                <w:szCs w:val="24"/>
                <w:lang w:eastAsia="en-US"/>
              </w:rPr>
              <w:t xml:space="preserve">PRBs allocated by </w:t>
            </w:r>
            <w:r w:rsidRPr="002E7DF9">
              <w:rPr>
                <w:rFonts w:ascii="Times" w:eastAsia="Batang" w:hAnsi="Times"/>
                <w:i/>
                <w:sz w:val="20"/>
                <w:szCs w:val="24"/>
                <w:lang w:eastAsia="en-US"/>
              </w:rPr>
              <w:t>frequencyDomainResources</w:t>
            </w:r>
            <w:r w:rsidRPr="002E7DF9">
              <w:rPr>
                <w:rFonts w:ascii="Times" w:eastAsia="Batang" w:hAnsi="Times"/>
                <w:sz w:val="20"/>
                <w:szCs w:val="24"/>
                <w:lang w:eastAsia="en-US"/>
              </w:rPr>
              <w:t xml:space="preserve"> in the CORESET configuration are confined within one of LBT bandwidths within the BWP corresponding to the CORESET.</w:t>
            </w:r>
          </w:p>
          <w:p w14:paraId="08DCC2DC" w14:textId="77777777" w:rsidR="002E7DF9" w:rsidRPr="002E7DF9" w:rsidRDefault="002E7DF9" w:rsidP="002E7DF9">
            <w:pPr>
              <w:numPr>
                <w:ilvl w:val="0"/>
                <w:numId w:val="43"/>
              </w:numPr>
              <w:spacing w:after="0"/>
              <w:rPr>
                <w:rFonts w:ascii="Times" w:eastAsia="Batang" w:hAnsi="Times"/>
                <w:sz w:val="20"/>
                <w:szCs w:val="24"/>
                <w:lang w:eastAsia="en-US"/>
              </w:rPr>
            </w:pPr>
            <w:r w:rsidRPr="002E7DF9">
              <w:rPr>
                <w:rFonts w:ascii="Times" w:eastAsia="Batang" w:hAnsi="Times"/>
                <w:sz w:val="20"/>
                <w:szCs w:val="24"/>
                <w:lang w:eastAsia="en-US"/>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182C3729" w14:textId="77777777" w:rsidR="002E7DF9" w:rsidRPr="002E7DF9" w:rsidRDefault="002E7DF9" w:rsidP="002E7DF9">
            <w:pPr>
              <w:numPr>
                <w:ilvl w:val="1"/>
                <w:numId w:val="43"/>
              </w:numPr>
              <w:spacing w:after="0"/>
              <w:rPr>
                <w:rFonts w:ascii="Times" w:eastAsia="Batang" w:hAnsi="Times"/>
                <w:sz w:val="20"/>
                <w:szCs w:val="24"/>
                <w:lang w:eastAsia="en-US"/>
              </w:rPr>
            </w:pPr>
            <w:r w:rsidRPr="002E7DF9">
              <w:rPr>
                <w:rFonts w:ascii="Times" w:eastAsia="Batang" w:hAnsi="Times"/>
                <w:sz w:val="20"/>
                <w:szCs w:val="24"/>
                <w:lang w:eastAsia="en-US"/>
              </w:rPr>
              <w:t>CORESET parameters other than frequency domain resource allocation pattern are identical for each of the one or more monitoring locations in the frequency domain.</w:t>
            </w:r>
          </w:p>
          <w:p w14:paraId="734CCD13" w14:textId="77777777" w:rsidR="002E7DF9" w:rsidRPr="002E7DF9" w:rsidRDefault="002E7DF9" w:rsidP="002E7DF9">
            <w:pPr>
              <w:numPr>
                <w:ilvl w:val="0"/>
                <w:numId w:val="43"/>
              </w:numPr>
              <w:spacing w:after="0"/>
              <w:rPr>
                <w:rFonts w:ascii="Times" w:eastAsia="Batang" w:hAnsi="Times"/>
                <w:sz w:val="20"/>
                <w:szCs w:val="24"/>
                <w:lang w:eastAsia="en-US"/>
              </w:rPr>
            </w:pPr>
            <w:r w:rsidRPr="002E7DF9">
              <w:rPr>
                <w:rFonts w:ascii="Times" w:eastAsia="Batang" w:hAnsi="Times"/>
                <w:sz w:val="20"/>
                <w:szCs w:val="24"/>
                <w:lang w:eastAsia="en-US"/>
              </w:rPr>
              <w:t>Include this and the prior agreement on this issue in an LS to RAN2</w:t>
            </w:r>
          </w:p>
          <w:p w14:paraId="6464400C" w14:textId="77777777" w:rsidR="002E7DF9" w:rsidRPr="002E7DF9" w:rsidRDefault="002E7DF9" w:rsidP="002E7DF9">
            <w:pPr>
              <w:spacing w:after="0"/>
              <w:rPr>
                <w:rFonts w:ascii="Times" w:eastAsia="Batang" w:hAnsi="Times"/>
                <w:sz w:val="20"/>
                <w:szCs w:val="24"/>
                <w:lang w:eastAsia="en-US"/>
              </w:rPr>
            </w:pPr>
          </w:p>
          <w:p w14:paraId="74F9E6CB" w14:textId="77777777" w:rsidR="002E7DF9" w:rsidRPr="002E7DF9" w:rsidRDefault="002E7DF9" w:rsidP="002E7DF9">
            <w:pPr>
              <w:spacing w:after="0"/>
              <w:rPr>
                <w:rFonts w:ascii="Times" w:eastAsia="Batang" w:hAnsi="Times"/>
                <w:sz w:val="20"/>
                <w:szCs w:val="24"/>
                <w:lang w:eastAsia="en-US"/>
              </w:rPr>
            </w:pPr>
            <w:r w:rsidRPr="002E7DF9">
              <w:rPr>
                <w:rFonts w:ascii="Times" w:eastAsia="Batang" w:hAnsi="Times"/>
                <w:sz w:val="20"/>
                <w:szCs w:val="24"/>
                <w:highlight w:val="green"/>
                <w:lang w:eastAsia="en-US"/>
              </w:rPr>
              <w:t>Agreement:</w:t>
            </w:r>
          </w:p>
          <w:p w14:paraId="3218032A" w14:textId="77777777" w:rsidR="002E7DF9" w:rsidRPr="002E7DF9" w:rsidRDefault="002E7DF9" w:rsidP="002E7DF9">
            <w:pPr>
              <w:spacing w:after="0"/>
              <w:rPr>
                <w:rFonts w:ascii="Times" w:eastAsia="Batang" w:hAnsi="Times"/>
                <w:sz w:val="20"/>
                <w:szCs w:val="24"/>
                <w:lang w:eastAsia="en-US"/>
              </w:rPr>
            </w:pPr>
            <w:r w:rsidRPr="002E7DF9">
              <w:rPr>
                <w:rFonts w:ascii="Times" w:eastAsia="Batang" w:hAnsi="Times"/>
                <w:sz w:val="20"/>
                <w:szCs w:val="24"/>
                <w:lang w:eastAsia="en-US"/>
              </w:rPr>
              <w:t>The intra-carrier guard bands on a carrier can be semi-statically adjusted with an RB level granularity. The RAN4 minimum guard band requirements are used as the guard bands when no semi-static adjustment is applied.</w:t>
            </w:r>
          </w:p>
          <w:p w14:paraId="5E3E4131" w14:textId="77777777" w:rsidR="002E7DF9" w:rsidRPr="002E7DF9" w:rsidRDefault="002E7DF9" w:rsidP="002E7DF9">
            <w:pPr>
              <w:numPr>
                <w:ilvl w:val="0"/>
                <w:numId w:val="42"/>
              </w:numPr>
              <w:spacing w:after="0"/>
              <w:rPr>
                <w:rFonts w:ascii="Times" w:eastAsia="Batang" w:hAnsi="Times"/>
                <w:sz w:val="20"/>
                <w:szCs w:val="24"/>
                <w:lang w:eastAsia="en-US"/>
              </w:rPr>
            </w:pPr>
            <w:r w:rsidRPr="002E7DF9">
              <w:rPr>
                <w:rFonts w:ascii="Times" w:eastAsia="Batang" w:hAnsi="Times"/>
                <w:sz w:val="20"/>
                <w:szCs w:val="24"/>
                <w:lang w:eastAsia="en-US"/>
              </w:rPr>
              <w:t>The guard bands adjustments do not affect the already agreed restrictions on PUCCH resource allocation.</w:t>
            </w:r>
          </w:p>
          <w:p w14:paraId="1557D3F6" w14:textId="77777777" w:rsidR="002E7DF9" w:rsidRPr="002E7DF9" w:rsidRDefault="002E7DF9" w:rsidP="002E7DF9">
            <w:pPr>
              <w:numPr>
                <w:ilvl w:val="0"/>
                <w:numId w:val="42"/>
              </w:numPr>
              <w:spacing w:after="0"/>
              <w:rPr>
                <w:rFonts w:ascii="Times" w:eastAsia="Batang" w:hAnsi="Times"/>
                <w:sz w:val="20"/>
                <w:szCs w:val="24"/>
                <w:lang w:eastAsia="en-US"/>
              </w:rPr>
            </w:pPr>
            <w:r w:rsidRPr="002E7DF9">
              <w:rPr>
                <w:rFonts w:ascii="Times" w:eastAsia="Batang" w:hAnsi="Times"/>
                <w:sz w:val="20"/>
                <w:szCs w:val="24"/>
                <w:lang w:eastAsia="en-US"/>
              </w:rPr>
              <w:t>FFS: Whether and how to handle the case where the intra-carrier guard bands are part of a resource allocation</w:t>
            </w:r>
          </w:p>
          <w:p w14:paraId="656B5211" w14:textId="77777777" w:rsidR="002E7DF9" w:rsidRPr="002E7DF9" w:rsidRDefault="002E7DF9" w:rsidP="002E7DF9">
            <w:pPr>
              <w:spacing w:after="0"/>
              <w:rPr>
                <w:rFonts w:ascii="Times" w:eastAsia="Batang" w:hAnsi="Times"/>
                <w:sz w:val="20"/>
                <w:szCs w:val="24"/>
                <w:lang w:eastAsia="en-US"/>
              </w:rPr>
            </w:pPr>
          </w:p>
          <w:p w14:paraId="61383DE0" w14:textId="77777777" w:rsidR="002E7DF9" w:rsidRPr="002E7DF9" w:rsidRDefault="002E7DF9" w:rsidP="002E7DF9">
            <w:pPr>
              <w:spacing w:after="0"/>
              <w:rPr>
                <w:rFonts w:ascii="Times" w:eastAsia="Batang" w:hAnsi="Times"/>
                <w:sz w:val="20"/>
                <w:szCs w:val="24"/>
                <w:lang w:eastAsia="en-US"/>
              </w:rPr>
            </w:pPr>
            <w:r w:rsidRPr="002E7DF9">
              <w:rPr>
                <w:rFonts w:ascii="Times" w:eastAsia="Batang" w:hAnsi="Times"/>
                <w:sz w:val="20"/>
                <w:szCs w:val="24"/>
                <w:highlight w:val="green"/>
                <w:lang w:eastAsia="en-US"/>
              </w:rPr>
              <w:t>Agreement:</w:t>
            </w:r>
          </w:p>
          <w:p w14:paraId="45AAA333" w14:textId="77777777" w:rsidR="002E7DF9" w:rsidRPr="002E7DF9" w:rsidRDefault="002E7DF9" w:rsidP="002E7DF9">
            <w:pPr>
              <w:numPr>
                <w:ilvl w:val="0"/>
                <w:numId w:val="42"/>
              </w:numPr>
              <w:spacing w:after="0"/>
              <w:rPr>
                <w:rFonts w:ascii="Times" w:eastAsia="Batang" w:hAnsi="Times"/>
                <w:sz w:val="20"/>
                <w:szCs w:val="24"/>
                <w:lang w:eastAsia="en-US"/>
              </w:rPr>
            </w:pPr>
            <w:r w:rsidRPr="002E7DF9">
              <w:rPr>
                <w:rFonts w:ascii="Times" w:eastAsia="Batang" w:hAnsi="Times"/>
                <w:sz w:val="20"/>
                <w:szCs w:val="24"/>
                <w:lang w:eastAsia="en-US"/>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3E43B9CA" w14:textId="77777777" w:rsidR="002E7DF9" w:rsidRPr="002E7DF9" w:rsidRDefault="002E7DF9" w:rsidP="002E7DF9">
            <w:pPr>
              <w:numPr>
                <w:ilvl w:val="0"/>
                <w:numId w:val="42"/>
              </w:numPr>
              <w:spacing w:after="0"/>
              <w:rPr>
                <w:rFonts w:ascii="Times" w:eastAsia="Batang" w:hAnsi="Times"/>
                <w:sz w:val="20"/>
                <w:szCs w:val="24"/>
                <w:lang w:eastAsia="en-US"/>
              </w:rPr>
            </w:pPr>
            <w:r w:rsidRPr="002E7DF9">
              <w:rPr>
                <w:rFonts w:ascii="Times" w:eastAsia="Batang" w:hAnsi="Times"/>
                <w:sz w:val="20"/>
                <w:szCs w:val="24"/>
                <w:lang w:eastAsia="en-US"/>
              </w:rPr>
              <w:t>The UE is not expected to receive resource allocations in discontiguous LBT bandwidths within a wideband carrier</w:t>
            </w:r>
          </w:p>
          <w:p w14:paraId="607EE953" w14:textId="3E5FBB90" w:rsidR="00B1697C" w:rsidRPr="002E7DF9" w:rsidRDefault="002E7DF9" w:rsidP="002E7DF9">
            <w:pPr>
              <w:numPr>
                <w:ilvl w:val="1"/>
                <w:numId w:val="42"/>
              </w:numPr>
              <w:spacing w:after="0"/>
              <w:rPr>
                <w:rFonts w:ascii="Times" w:eastAsia="Batang" w:hAnsi="Times"/>
                <w:sz w:val="20"/>
                <w:szCs w:val="24"/>
                <w:lang w:eastAsia="en-US"/>
              </w:rPr>
            </w:pPr>
            <w:r w:rsidRPr="002E7DF9">
              <w:rPr>
                <w:rFonts w:ascii="Times" w:eastAsia="Batang" w:hAnsi="Times"/>
                <w:sz w:val="20"/>
                <w:szCs w:val="24"/>
                <w:lang w:eastAsia="en-US"/>
              </w:rPr>
              <w:t>This does not preclude such resource allocation in discontiguous LBT bandwidths being supported by specifications managed by RAN1 in Rel-16.</w:t>
            </w:r>
          </w:p>
        </w:tc>
      </w:tr>
    </w:tbl>
    <w:p w14:paraId="756E9762" w14:textId="0F4C1569" w:rsidR="00764120" w:rsidRDefault="00764120" w:rsidP="00956F10">
      <w:pPr>
        <w:spacing w:afterLines="50" w:after="120"/>
        <w:jc w:val="both"/>
        <w:rPr>
          <w:rFonts w:eastAsia="ＭＳ 明朝"/>
          <w:sz w:val="22"/>
          <w:szCs w:val="22"/>
          <w:lang w:val="en-US"/>
        </w:rPr>
      </w:pPr>
    </w:p>
    <w:p w14:paraId="44A25296" w14:textId="717DD257" w:rsidR="006D0257" w:rsidRDefault="006D0257" w:rsidP="006D0257">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“Wideband operations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6D0257" w14:paraId="3CA09B73" w14:textId="77777777" w:rsidTr="001F2474">
        <w:tc>
          <w:tcPr>
            <w:tcW w:w="9962" w:type="dxa"/>
          </w:tcPr>
          <w:p w14:paraId="3A1F8A97" w14:textId="77777777" w:rsidR="006D0257" w:rsidRPr="006D0257" w:rsidRDefault="006D0257" w:rsidP="006D0257">
            <w:pPr>
              <w:rPr>
                <w:b/>
                <w:color w:val="0000FF"/>
                <w:sz w:val="21"/>
                <w:szCs w:val="16"/>
                <w:lang w:val="en-US"/>
              </w:rPr>
            </w:pPr>
            <w:r w:rsidRPr="006D0257">
              <w:rPr>
                <w:b/>
                <w:color w:val="0000FF"/>
                <w:sz w:val="21"/>
                <w:szCs w:val="16"/>
                <w:lang w:val="en-US"/>
              </w:rPr>
              <w:t>7.2.2.2.5 Wideband operations</w:t>
            </w:r>
          </w:p>
          <w:p w14:paraId="671484B7" w14:textId="77777777" w:rsidR="006D0257" w:rsidRPr="006D0257" w:rsidRDefault="006D0257" w:rsidP="006D0257">
            <w:pPr>
              <w:rPr>
                <w:sz w:val="21"/>
                <w:szCs w:val="16"/>
                <w:lang w:val="en-US"/>
              </w:rPr>
            </w:pPr>
            <w:r w:rsidRPr="006D0257">
              <w:rPr>
                <w:b/>
                <w:bCs/>
                <w:sz w:val="21"/>
                <w:szCs w:val="16"/>
                <w:lang w:val="en-US"/>
              </w:rPr>
              <w:t>Essential</w:t>
            </w:r>
          </w:p>
          <w:p w14:paraId="193453B9" w14:textId="77777777" w:rsidR="006D0257" w:rsidRPr="006D0257" w:rsidRDefault="006D0257" w:rsidP="006D0257">
            <w:pPr>
              <w:numPr>
                <w:ilvl w:val="0"/>
                <w:numId w:val="33"/>
              </w:numPr>
              <w:rPr>
                <w:sz w:val="21"/>
                <w:szCs w:val="16"/>
                <w:lang w:val="en-US"/>
              </w:rPr>
            </w:pPr>
            <w:r w:rsidRPr="006D0257">
              <w:rPr>
                <w:sz w:val="21"/>
                <w:szCs w:val="16"/>
                <w:lang w:val="en-US"/>
              </w:rPr>
              <w:t>Coreset for wideband (multiple coresets with one or more per LBT subband or multi-cluster coreset with one cluster per subband)</w:t>
            </w:r>
          </w:p>
          <w:p w14:paraId="077CA1A0" w14:textId="77777777" w:rsidR="006D0257" w:rsidRPr="006D0257" w:rsidRDefault="006D0257" w:rsidP="006D0257">
            <w:pPr>
              <w:rPr>
                <w:sz w:val="21"/>
                <w:szCs w:val="16"/>
                <w:lang w:val="en-US"/>
              </w:rPr>
            </w:pPr>
            <w:r w:rsidRPr="006D0257">
              <w:rPr>
                <w:b/>
                <w:bCs/>
                <w:sz w:val="21"/>
                <w:szCs w:val="16"/>
                <w:lang w:val="en-US"/>
              </w:rPr>
              <w:t>Optimizations</w:t>
            </w:r>
          </w:p>
          <w:p w14:paraId="066DC80F" w14:textId="53511A31" w:rsidR="006D0257" w:rsidRPr="00AC2B00" w:rsidRDefault="006D0257" w:rsidP="006D0257">
            <w:pPr>
              <w:numPr>
                <w:ilvl w:val="0"/>
                <w:numId w:val="33"/>
              </w:numPr>
              <w:rPr>
                <w:sz w:val="21"/>
                <w:szCs w:val="16"/>
                <w:lang w:val="en-US"/>
              </w:rPr>
            </w:pPr>
            <w:r w:rsidRPr="006D0257">
              <w:rPr>
                <w:sz w:val="21"/>
                <w:szCs w:val="16"/>
                <w:lang w:val="en-US"/>
              </w:rPr>
              <w:t>If PUSCH Alt 2 is also supported</w:t>
            </w:r>
          </w:p>
        </w:tc>
      </w:tr>
    </w:tbl>
    <w:p w14:paraId="79FF0F6E" w14:textId="77777777" w:rsidR="006D0257" w:rsidRDefault="006D0257"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30644CD2" w14:textId="77777777" w:rsidR="00AD52A3" w:rsidRPr="00BF6AB9" w:rsidRDefault="00AD52A3" w:rsidP="00BF6AB9">
      <w:pPr>
        <w:rPr>
          <w:lang w:val="en-US"/>
        </w:rPr>
      </w:pPr>
    </w:p>
    <w:p w14:paraId="1E57FDB6" w14:textId="77777777" w:rsidR="002B6816" w:rsidRPr="002B6816" w:rsidRDefault="002B6816" w:rsidP="00EB42F6">
      <w:pPr>
        <w:pStyle w:val="afc"/>
        <w:keepNext/>
        <w:numPr>
          <w:ilvl w:val="0"/>
          <w:numId w:val="29"/>
        </w:numPr>
        <w:tabs>
          <w:tab w:val="left" w:pos="0"/>
        </w:tabs>
        <w:spacing w:before="240" w:after="60"/>
        <w:ind w:leftChars="0"/>
        <w:outlineLvl w:val="0"/>
        <w:rPr>
          <w:rStyle w:val="B10"/>
          <w:rFonts w:ascii="Arial" w:hAnsi="Arial"/>
          <w:b/>
          <w:vanish/>
          <w:kern w:val="28"/>
          <w:sz w:val="28"/>
        </w:rPr>
      </w:pPr>
    </w:p>
    <w:p w14:paraId="1749FDFD" w14:textId="771B375F" w:rsidR="00B379A5" w:rsidRDefault="00A25F9D" w:rsidP="00EB42F6">
      <w:pPr>
        <w:pStyle w:val="1"/>
        <w:numPr>
          <w:ilvl w:val="0"/>
          <w:numId w:val="29"/>
        </w:numPr>
        <w:rPr>
          <w:rStyle w:val="B10"/>
          <w:b/>
        </w:rPr>
      </w:pPr>
      <w:r w:rsidRPr="00A25F9D">
        <w:rPr>
          <w:rStyle w:val="B10"/>
          <w:rFonts w:hint="eastAsia"/>
          <w:b/>
        </w:rPr>
        <w:t>M</w:t>
      </w:r>
      <w:r w:rsidRPr="00A25F9D">
        <w:rPr>
          <w:rStyle w:val="B10"/>
          <w:b/>
        </w:rPr>
        <w:t>echanism to identify gNB</w:t>
      </w:r>
      <w:r w:rsidR="00CD75E4">
        <w:rPr>
          <w:rStyle w:val="B10"/>
          <w:b/>
        </w:rPr>
        <w:t>’s</w:t>
      </w:r>
      <w:r w:rsidRPr="00A25F9D">
        <w:rPr>
          <w:rStyle w:val="B10"/>
          <w:b/>
        </w:rPr>
        <w:t xml:space="preserve"> transmission sub-band(s) for UE</w:t>
      </w:r>
    </w:p>
    <w:p w14:paraId="162CFED6" w14:textId="1328A011" w:rsidR="008D58DD" w:rsidRDefault="00CD75E4" w:rsidP="00634602">
      <w:pPr>
        <w:spacing w:afterLines="50" w:after="120"/>
        <w:jc w:val="both"/>
        <w:rPr>
          <w:rFonts w:eastAsia="ＭＳ 明朝"/>
          <w:sz w:val="22"/>
          <w:szCs w:val="22"/>
          <w:lang w:val="en-US"/>
        </w:rPr>
      </w:pPr>
      <w:r>
        <w:rPr>
          <w:rFonts w:eastAsia="ＭＳ 明朝"/>
          <w:sz w:val="22"/>
          <w:szCs w:val="22"/>
        </w:rPr>
        <w:t>At</w:t>
      </w:r>
      <w:r w:rsidR="00BE2FC8">
        <w:rPr>
          <w:rFonts w:eastAsia="ＭＳ 明朝"/>
          <w:sz w:val="22"/>
          <w:szCs w:val="22"/>
        </w:rPr>
        <w:t xml:space="preserve"> the previous RAN1 meeting, </w:t>
      </w:r>
      <w:r w:rsidR="008D58DD">
        <w:rPr>
          <w:rFonts w:eastAsia="ＭＳ 明朝"/>
          <w:sz w:val="22"/>
          <w:szCs w:val="22"/>
          <w:lang w:val="en-US"/>
        </w:rPr>
        <w:t>RAN1 made agreements regarding explicit indication of available (or unavailable) carriers/LBT bandwidths by using GC-PDCCH. Here we discuss on how to identify gNB’s transmission LBT bandwidths at UE for the beginning of DL transmission burst.</w:t>
      </w:r>
    </w:p>
    <w:p w14:paraId="1FC05264" w14:textId="779EF009" w:rsidR="000040F4" w:rsidRDefault="000040F4" w:rsidP="00BE2FC8">
      <w:pPr>
        <w:spacing w:afterLines="50" w:after="120"/>
        <w:jc w:val="both"/>
        <w:rPr>
          <w:rFonts w:eastAsia="ＭＳ 明朝"/>
          <w:sz w:val="22"/>
          <w:szCs w:val="22"/>
          <w:lang w:val="en-US"/>
        </w:rPr>
      </w:pPr>
      <w:r>
        <w:rPr>
          <w:rFonts w:eastAsia="ＭＳ 明朝" w:hint="eastAsia"/>
          <w:sz w:val="22"/>
          <w:szCs w:val="22"/>
          <w:lang w:val="en-US"/>
        </w:rPr>
        <w:t>First, there are two types of wideband operations</w:t>
      </w:r>
      <w:r>
        <w:rPr>
          <w:rFonts w:eastAsia="ＭＳ 明朝"/>
          <w:sz w:val="22"/>
          <w:szCs w:val="22"/>
          <w:lang w:val="en-US"/>
        </w:rPr>
        <w:t xml:space="preserve"> as below. In case 1 operation, it is not necessary for UE to identify gNB’s transmission LBT bandwidths. Therefore, following discussion is for case 2 operation. </w:t>
      </w:r>
    </w:p>
    <w:p w14:paraId="452D3CED" w14:textId="45469621" w:rsidR="000040F4" w:rsidRPr="000040F4" w:rsidRDefault="000040F4" w:rsidP="00BE2FC8">
      <w:pPr>
        <w:pStyle w:val="afc"/>
        <w:numPr>
          <w:ilvl w:val="0"/>
          <w:numId w:val="33"/>
        </w:numPr>
        <w:spacing w:afterLines="50" w:after="120"/>
        <w:ind w:leftChars="0"/>
        <w:jc w:val="both"/>
        <w:rPr>
          <w:rFonts w:eastAsia="ＭＳ 明朝"/>
          <w:sz w:val="22"/>
          <w:szCs w:val="22"/>
          <w:lang w:val="en-US"/>
        </w:rPr>
      </w:pPr>
      <w:r w:rsidRPr="000040F4">
        <w:rPr>
          <w:rFonts w:eastAsia="ＭＳ 明朝" w:hint="eastAsia"/>
          <w:sz w:val="22"/>
          <w:szCs w:val="22"/>
          <w:lang w:val="en-US"/>
        </w:rPr>
        <w:t>Case 1</w:t>
      </w:r>
      <w:r w:rsidR="00D87CCF">
        <w:rPr>
          <w:rFonts w:eastAsia="ＭＳ 明朝"/>
          <w:sz w:val="22"/>
          <w:szCs w:val="22"/>
          <w:lang w:val="en-US"/>
        </w:rPr>
        <w:t xml:space="preserve"> (Option 2 in previous agreement)</w:t>
      </w:r>
      <w:r w:rsidRPr="000040F4">
        <w:rPr>
          <w:rFonts w:eastAsia="ＭＳ 明朝" w:hint="eastAsia"/>
          <w:sz w:val="22"/>
          <w:szCs w:val="22"/>
          <w:lang w:val="en-US"/>
        </w:rPr>
        <w:t xml:space="preserve">: </w:t>
      </w:r>
      <w:r w:rsidRPr="000040F4">
        <w:rPr>
          <w:rFonts w:eastAsia="ＭＳ 明朝"/>
          <w:sz w:val="22"/>
          <w:szCs w:val="22"/>
          <w:lang w:val="en-US"/>
        </w:rPr>
        <w:t>Multiple BWPs can be configured, single BWP activated, gNB may transmit PDSCH on whole of single active BWP when CCA is successful for all LBT bandwidths within the active BWP at gNB</w:t>
      </w:r>
    </w:p>
    <w:p w14:paraId="05F3A06F" w14:textId="05B32947" w:rsidR="000040F4" w:rsidRPr="000040F4" w:rsidRDefault="000040F4" w:rsidP="00BE2FC8">
      <w:pPr>
        <w:pStyle w:val="afc"/>
        <w:numPr>
          <w:ilvl w:val="0"/>
          <w:numId w:val="33"/>
        </w:numPr>
        <w:spacing w:afterLines="50" w:after="120"/>
        <w:ind w:leftChars="0"/>
        <w:jc w:val="both"/>
        <w:rPr>
          <w:rFonts w:eastAsia="ＭＳ 明朝"/>
          <w:sz w:val="22"/>
          <w:szCs w:val="22"/>
          <w:lang w:val="en-US"/>
        </w:rPr>
      </w:pPr>
      <w:r>
        <w:rPr>
          <w:rFonts w:eastAsia="ＭＳ 明朝"/>
          <w:sz w:val="22"/>
          <w:szCs w:val="22"/>
          <w:lang w:val="en-US"/>
        </w:rPr>
        <w:t>Case 2</w:t>
      </w:r>
      <w:r w:rsidR="00D87CCF">
        <w:rPr>
          <w:rFonts w:eastAsia="ＭＳ 明朝"/>
          <w:sz w:val="22"/>
          <w:szCs w:val="22"/>
          <w:lang w:val="en-US"/>
        </w:rPr>
        <w:t xml:space="preserve"> (Option 3 in previous agreement)</w:t>
      </w:r>
      <w:r>
        <w:rPr>
          <w:rFonts w:eastAsia="ＭＳ 明朝"/>
          <w:sz w:val="22"/>
          <w:szCs w:val="22"/>
          <w:lang w:val="en-US"/>
        </w:rPr>
        <w:t xml:space="preserve">: </w:t>
      </w:r>
      <w:r w:rsidR="008B74BE" w:rsidRPr="000040F4">
        <w:rPr>
          <w:rFonts w:eastAsia="ＭＳ 明朝"/>
          <w:sz w:val="22"/>
          <w:szCs w:val="22"/>
          <w:lang w:val="en-US"/>
        </w:rPr>
        <w:t>Multiple BWPs can be configured, single BWP activated, gNB may transmit PDSCH on part or whole of single active BWP where CCA is successful at gNB</w:t>
      </w:r>
    </w:p>
    <w:p w14:paraId="2B553420" w14:textId="5D9B36B6" w:rsidR="008D58DD" w:rsidRDefault="008D58DD" w:rsidP="00E53AF9">
      <w:pPr>
        <w:spacing w:afterLines="50" w:after="120"/>
        <w:jc w:val="both"/>
        <w:rPr>
          <w:rFonts w:eastAsia="ＭＳ 明朝"/>
          <w:sz w:val="22"/>
          <w:szCs w:val="22"/>
          <w:lang w:val="en-US"/>
        </w:rPr>
      </w:pPr>
      <w:r>
        <w:rPr>
          <w:rFonts w:eastAsia="ＭＳ 明朝"/>
          <w:sz w:val="22"/>
          <w:szCs w:val="22"/>
          <w:lang w:val="en-US"/>
        </w:rPr>
        <w:t>For the explicit indication mechanism, gNB needs to send appropriate contents via GC-PDCCH according to LBT results. So, at the beginning of</w:t>
      </w:r>
      <w:r w:rsidR="00082450">
        <w:rPr>
          <w:rFonts w:eastAsia="ＭＳ 明朝"/>
          <w:sz w:val="22"/>
          <w:szCs w:val="22"/>
          <w:lang w:val="en-US"/>
        </w:rPr>
        <w:t xml:space="preserve"> DL transmission burst, it may</w:t>
      </w:r>
      <w:r>
        <w:rPr>
          <w:rFonts w:eastAsia="ＭＳ 明朝"/>
          <w:sz w:val="22"/>
          <w:szCs w:val="22"/>
          <w:lang w:val="en-US"/>
        </w:rPr>
        <w:t xml:space="preserve"> not be feasible to send GC-PDCCH with appropriate channel occupancy frequency domain structure indication</w:t>
      </w:r>
      <w:r w:rsidR="00405B09">
        <w:rPr>
          <w:rFonts w:eastAsia="ＭＳ 明朝"/>
          <w:sz w:val="22"/>
          <w:szCs w:val="22"/>
          <w:lang w:val="en-US"/>
        </w:rPr>
        <w:t xml:space="preserve"> at least for some gNB</w:t>
      </w:r>
      <w:r>
        <w:rPr>
          <w:rFonts w:eastAsia="ＭＳ 明朝"/>
          <w:sz w:val="22"/>
          <w:szCs w:val="22"/>
          <w:lang w:val="en-US"/>
        </w:rPr>
        <w:t xml:space="preserve">. </w:t>
      </w:r>
      <w:r w:rsidR="00082450">
        <w:rPr>
          <w:rFonts w:eastAsia="ＭＳ 明朝"/>
          <w:sz w:val="22"/>
          <w:szCs w:val="22"/>
          <w:lang w:val="en-US"/>
        </w:rPr>
        <w:t xml:space="preserve">The identification of channel occupancy frequency domain structure at the beginning of DL transmission burst should be based on the detection of DL signal and/or channel at the UE. </w:t>
      </w:r>
      <w:r w:rsidR="000675B0">
        <w:rPr>
          <w:rFonts w:eastAsia="ＭＳ 明朝"/>
          <w:sz w:val="22"/>
          <w:szCs w:val="22"/>
          <w:lang w:val="en-US"/>
        </w:rPr>
        <w:t xml:space="preserve">For PDCCH/GC-PDCCH detection, UE should anyway perform PDCCH blind detection on every LBT bandwidth </w:t>
      </w:r>
      <w:r w:rsidR="00CD75E4">
        <w:rPr>
          <w:rFonts w:eastAsia="ＭＳ 明朝"/>
          <w:sz w:val="22"/>
          <w:szCs w:val="22"/>
          <w:lang w:val="en-US"/>
        </w:rPr>
        <w:t xml:space="preserve">according to the configured </w:t>
      </w:r>
      <w:r w:rsidR="000675B0">
        <w:rPr>
          <w:rFonts w:eastAsia="ＭＳ 明朝"/>
          <w:sz w:val="22"/>
          <w:szCs w:val="22"/>
          <w:lang w:val="en-US"/>
        </w:rPr>
        <w:t xml:space="preserve">multiple CORESETs confined within each LBT bandwidth and associated with search space configuration for mini-slot based monitoring. For PDSCH/PUSCH resource allocation, </w:t>
      </w:r>
      <w:r w:rsidR="00AC0801">
        <w:rPr>
          <w:rFonts w:eastAsia="ＭＳ 明朝"/>
          <w:sz w:val="22"/>
          <w:szCs w:val="22"/>
          <w:lang w:val="en-US"/>
        </w:rPr>
        <w:t xml:space="preserve">UE can just follow </w:t>
      </w:r>
      <w:r w:rsidR="00CD75E4">
        <w:rPr>
          <w:rFonts w:eastAsia="ＭＳ 明朝"/>
          <w:sz w:val="22"/>
          <w:szCs w:val="22"/>
          <w:lang w:val="en-US"/>
        </w:rPr>
        <w:t xml:space="preserve">a </w:t>
      </w:r>
      <w:r w:rsidR="00AC0801">
        <w:rPr>
          <w:rFonts w:eastAsia="ＭＳ 明朝"/>
          <w:sz w:val="22"/>
          <w:szCs w:val="22"/>
          <w:lang w:val="en-US"/>
        </w:rPr>
        <w:t>resource allocation indication in DCI. gNB capable of changing DCI contents dynamically according to LBT outcome can allocate PDSCH/PUSCH resource from PDCCH in one LBT bandwidth to multiple available LBT bandwidth</w:t>
      </w:r>
      <w:r w:rsidR="00CF6898">
        <w:rPr>
          <w:rFonts w:eastAsia="ＭＳ 明朝"/>
          <w:sz w:val="22"/>
          <w:szCs w:val="22"/>
          <w:lang w:val="en-US"/>
        </w:rPr>
        <w:t>s</w:t>
      </w:r>
      <w:r w:rsidR="00AC0801">
        <w:rPr>
          <w:rFonts w:eastAsia="ＭＳ 明朝"/>
          <w:sz w:val="22"/>
          <w:szCs w:val="22"/>
          <w:lang w:val="en-US"/>
        </w:rPr>
        <w:t>. gNB not capable of changing DCI contents dynamically according to LBT outcome can allocate PDSCH/PUSCH resource from PDCCH in one LBT bandwidth to the same LBT bandwidth. Therefore, no special handling would be necessary to identify gNB’s transmission LBT bandwidths at UE for the beginning of DL transmission burst.</w:t>
      </w:r>
    </w:p>
    <w:p w14:paraId="27DDB59C" w14:textId="24BE0749" w:rsidR="000040F4" w:rsidRPr="000040F4" w:rsidRDefault="000040F4" w:rsidP="00E53AF9">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sidR="0078747A">
        <w:rPr>
          <w:rFonts w:eastAsia="Batang"/>
          <w:b/>
          <w:sz w:val="22"/>
          <w:szCs w:val="22"/>
          <w:u w:val="single"/>
          <w:lang w:eastAsia="ko-KR"/>
        </w:rPr>
        <w:t>1</w:t>
      </w:r>
      <w:r w:rsidRPr="00E318DE">
        <w:rPr>
          <w:rFonts w:eastAsia="Batang"/>
          <w:b/>
          <w:sz w:val="22"/>
          <w:szCs w:val="22"/>
          <w:lang w:eastAsia="ko-KR"/>
        </w:rPr>
        <w:t xml:space="preserve">: </w:t>
      </w:r>
      <w:r w:rsidR="00CF6898">
        <w:rPr>
          <w:rFonts w:eastAsia="Batang"/>
          <w:b/>
          <w:sz w:val="22"/>
          <w:szCs w:val="22"/>
          <w:lang w:eastAsia="ko-KR"/>
        </w:rPr>
        <w:t xml:space="preserve">In case of wideband operation case 2 where </w:t>
      </w:r>
      <w:r w:rsidR="00CF6898"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w:t>
      </w:r>
      <w:r w:rsidR="000E15E6">
        <w:rPr>
          <w:rFonts w:eastAsia="Batang"/>
          <w:b/>
          <w:sz w:val="22"/>
          <w:szCs w:val="22"/>
          <w:lang w:eastAsia="ko-KR"/>
        </w:rPr>
        <w:t xml:space="preserve"> according to CORESET/search space configurations</w:t>
      </w:r>
      <w:r>
        <w:rPr>
          <w:rFonts w:eastAsia="Batang"/>
          <w:b/>
          <w:sz w:val="22"/>
          <w:szCs w:val="22"/>
          <w:lang w:eastAsia="ko-KR"/>
        </w:rPr>
        <w:t>.</w:t>
      </w:r>
    </w:p>
    <w:p w14:paraId="50930562" w14:textId="56CB561D" w:rsidR="008D58DD" w:rsidRPr="000040F4" w:rsidRDefault="008D58DD" w:rsidP="008D58DD">
      <w:pPr>
        <w:spacing w:afterLines="50" w:after="120"/>
        <w:rPr>
          <w:rFonts w:eastAsia="ＭＳ 明朝"/>
          <w:sz w:val="22"/>
          <w:szCs w:val="22"/>
        </w:rPr>
      </w:pPr>
    </w:p>
    <w:p w14:paraId="5D3CDA7E" w14:textId="55A940C4" w:rsidR="00CF5707" w:rsidRDefault="00CF5707" w:rsidP="00082450">
      <w:pPr>
        <w:spacing w:afterLines="50" w:after="120"/>
        <w:rPr>
          <w:rFonts w:eastAsia="ＭＳ 明朝"/>
          <w:sz w:val="22"/>
          <w:szCs w:val="22"/>
        </w:rPr>
      </w:pPr>
    </w:p>
    <w:p w14:paraId="5F83B7D2" w14:textId="32E53BF6" w:rsidR="00CF5707" w:rsidRPr="00300D00" w:rsidRDefault="00CF5707" w:rsidP="00CF5707">
      <w:pPr>
        <w:pStyle w:val="1"/>
        <w:numPr>
          <w:ilvl w:val="0"/>
          <w:numId w:val="29"/>
        </w:numPr>
        <w:rPr>
          <w:rFonts w:eastAsia="ＭＳ 明朝"/>
          <w:b/>
          <w:lang w:eastAsia="en-US"/>
        </w:rPr>
      </w:pPr>
      <w:r w:rsidRPr="00300D00">
        <w:rPr>
          <w:rFonts w:eastAsia="ＭＳ 明朝" w:hint="eastAsia"/>
          <w:b/>
          <w:bCs/>
          <w:szCs w:val="24"/>
          <w:lang w:val="en-US"/>
        </w:rPr>
        <w:t>In-carrier guard</w:t>
      </w:r>
      <w:r w:rsidR="00867D85">
        <w:rPr>
          <w:rFonts w:eastAsia="ＭＳ 明朝"/>
          <w:b/>
          <w:bCs/>
          <w:szCs w:val="24"/>
          <w:lang w:val="en-US"/>
        </w:rPr>
        <w:t>-</w:t>
      </w:r>
      <w:r w:rsidRPr="00300D00">
        <w:rPr>
          <w:rFonts w:eastAsia="ＭＳ 明朝" w:hint="eastAsia"/>
          <w:b/>
          <w:bCs/>
          <w:szCs w:val="24"/>
          <w:lang w:val="en-US"/>
        </w:rPr>
        <w:t>band</w:t>
      </w:r>
    </w:p>
    <w:p w14:paraId="5B2FEAE0" w14:textId="0C14F7B7" w:rsidR="00CF5707" w:rsidRPr="00C25A32" w:rsidRDefault="00680F2C" w:rsidP="003A43FF">
      <w:pPr>
        <w:spacing w:afterLines="50" w:after="120"/>
        <w:jc w:val="both"/>
        <w:rPr>
          <w:rFonts w:eastAsia="ＭＳ 明朝"/>
          <w:sz w:val="22"/>
          <w:szCs w:val="22"/>
        </w:rPr>
      </w:pPr>
      <w:r>
        <w:rPr>
          <w:sz w:val="22"/>
          <w:szCs w:val="22"/>
        </w:rPr>
        <w:t xml:space="preserve">In addition to the agreement shown in Section 1, </w:t>
      </w:r>
      <w:r w:rsidR="00166C69" w:rsidRPr="00C25A32">
        <w:rPr>
          <w:sz w:val="22"/>
          <w:szCs w:val="22"/>
        </w:rPr>
        <w:t>following aspects related to in-carrier guard band have been discussed in previous RAN1 meetings:</w:t>
      </w:r>
    </w:p>
    <w:p w14:paraId="30248FA4" w14:textId="3C0E7D0C" w:rsidR="00300D00" w:rsidRPr="00C25A32" w:rsidRDefault="00300D00"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PDSCH scheduling/reception</w:t>
      </w:r>
    </w:p>
    <w:p w14:paraId="05A764B1" w14:textId="7A3154E3"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can be varied based on how much time is elapsed after the start of DL burst</w:t>
      </w:r>
    </w:p>
    <w:p w14:paraId="01CE932D" w14:textId="5DFD2C3A"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can be varied based on frequency domain channel occupancy structure</w:t>
      </w:r>
    </w:p>
    <w:p w14:paraId="6CF0D3A7" w14:textId="409011E6"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is up to scheduler implementation</w:t>
      </w:r>
    </w:p>
    <w:p w14:paraId="6DF4913F" w14:textId="21A738B9"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Pre-defined in-carrier guard-band is always unavailable for PDSCH.</w:t>
      </w:r>
    </w:p>
    <w:p w14:paraId="5A751E16" w14:textId="0804C67F"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Partial DMRS PRB bundles and RBGs for in-carrier guard-band</w:t>
      </w:r>
    </w:p>
    <w:p w14:paraId="4A9DEFFC" w14:textId="22F90BDF" w:rsidR="00300D00" w:rsidRPr="00C25A32" w:rsidRDefault="00300D00" w:rsidP="003A43FF">
      <w:pPr>
        <w:spacing w:afterLines="50" w:after="120"/>
        <w:jc w:val="both"/>
        <w:rPr>
          <w:rFonts w:eastAsia="ＭＳ 明朝"/>
          <w:sz w:val="22"/>
          <w:szCs w:val="22"/>
          <w:lang w:val="en-US"/>
        </w:rPr>
      </w:pPr>
      <w:bookmarkStart w:id="2" w:name="_GoBack"/>
      <w:bookmarkEnd w:id="2"/>
    </w:p>
    <w:p w14:paraId="0B189F34" w14:textId="1A503F1F" w:rsidR="00300D00" w:rsidRPr="00C25A32" w:rsidRDefault="00FC2E8A" w:rsidP="003A43FF">
      <w:pPr>
        <w:spacing w:afterLines="50" w:after="120"/>
        <w:jc w:val="both"/>
        <w:rPr>
          <w:rFonts w:eastAsia="ＭＳ 明朝"/>
          <w:sz w:val="22"/>
          <w:szCs w:val="22"/>
          <w:lang w:val="en-US"/>
        </w:rPr>
      </w:pPr>
      <w:r w:rsidRPr="00C25A32">
        <w:rPr>
          <w:rFonts w:eastAsia="ＭＳ 明朝"/>
          <w:sz w:val="22"/>
          <w:szCs w:val="22"/>
          <w:lang w:val="en-US"/>
        </w:rPr>
        <w:t xml:space="preserve">For the beginning of DL burst, </w:t>
      </w:r>
      <w:r w:rsidR="00DC494F" w:rsidRPr="00C25A32">
        <w:rPr>
          <w:rFonts w:eastAsia="ＭＳ 明朝"/>
          <w:sz w:val="22"/>
          <w:szCs w:val="22"/>
          <w:lang w:val="en-US"/>
        </w:rPr>
        <w:t xml:space="preserve">since </w:t>
      </w:r>
      <w:r w:rsidR="00B75F11" w:rsidRPr="00C25A32">
        <w:rPr>
          <w:rFonts w:eastAsia="ＭＳ 明朝"/>
          <w:sz w:val="22"/>
          <w:szCs w:val="22"/>
          <w:lang w:val="en-US"/>
        </w:rPr>
        <w:t>LBT result</w:t>
      </w:r>
      <w:r w:rsidR="00DC494F" w:rsidRPr="00C25A32">
        <w:rPr>
          <w:rFonts w:eastAsia="ＭＳ 明朝"/>
          <w:sz w:val="22"/>
          <w:szCs w:val="22"/>
          <w:lang w:val="en-US"/>
        </w:rPr>
        <w:t xml:space="preserve"> (i.e., the availability of in-carrier guard-band </w:t>
      </w:r>
      <w:r w:rsidR="00782635" w:rsidRPr="00C25A32">
        <w:rPr>
          <w:rFonts w:eastAsia="ＭＳ 明朝"/>
          <w:sz w:val="22"/>
          <w:szCs w:val="22"/>
          <w:lang w:val="en-US"/>
        </w:rPr>
        <w:t xml:space="preserve">resources </w:t>
      </w:r>
      <w:r w:rsidR="00DC494F" w:rsidRPr="00C25A32">
        <w:rPr>
          <w:rFonts w:eastAsia="ＭＳ 明朝"/>
          <w:sz w:val="22"/>
          <w:szCs w:val="22"/>
          <w:lang w:val="en-US"/>
        </w:rPr>
        <w:t>for PDSCH)</w:t>
      </w:r>
      <w:r w:rsidR="00B75F11" w:rsidRPr="00C25A32">
        <w:rPr>
          <w:rFonts w:eastAsia="ＭＳ 明朝"/>
          <w:sz w:val="22"/>
          <w:szCs w:val="22"/>
          <w:lang w:val="en-US"/>
        </w:rPr>
        <w:t xml:space="preserve"> may not be able to apply to the </w:t>
      </w:r>
      <w:r w:rsidR="00DC494F" w:rsidRPr="00C25A32">
        <w:rPr>
          <w:rFonts w:eastAsia="ＭＳ 明朝"/>
          <w:sz w:val="22"/>
          <w:szCs w:val="22"/>
          <w:lang w:val="en-US"/>
        </w:rPr>
        <w:t>PDSCH scheduling, the in-carrier guard-band should be fixed to be unavailable</w:t>
      </w:r>
      <w:r w:rsidR="00595B65" w:rsidRPr="00C25A32">
        <w:rPr>
          <w:rFonts w:eastAsia="ＭＳ 明朝"/>
          <w:sz w:val="22"/>
          <w:szCs w:val="22"/>
          <w:lang w:val="en-US"/>
        </w:rPr>
        <w:t xml:space="preserve"> for PDSCH</w:t>
      </w:r>
      <w:r w:rsidR="00DC494F" w:rsidRPr="00C25A32">
        <w:rPr>
          <w:rFonts w:eastAsia="ＭＳ 明朝"/>
          <w:sz w:val="22"/>
          <w:szCs w:val="22"/>
          <w:lang w:val="en-US"/>
        </w:rPr>
        <w:t>.</w:t>
      </w:r>
      <w:r w:rsidR="001147D3">
        <w:rPr>
          <w:rFonts w:eastAsia="ＭＳ 明朝"/>
          <w:sz w:val="22"/>
          <w:szCs w:val="22"/>
          <w:lang w:val="en-US"/>
        </w:rPr>
        <w:t xml:space="preserve"> </w:t>
      </w:r>
      <w:r w:rsidR="00B4773D">
        <w:rPr>
          <w:rFonts w:eastAsia="ＭＳ 明朝" w:hint="eastAsia"/>
          <w:sz w:val="22"/>
          <w:szCs w:val="22"/>
          <w:lang w:val="en-US"/>
        </w:rPr>
        <w:t>Thus</w:t>
      </w:r>
      <w:r w:rsidR="00B4773D">
        <w:rPr>
          <w:rFonts w:eastAsia="ＭＳ 明朝"/>
          <w:sz w:val="22"/>
          <w:szCs w:val="22"/>
          <w:lang w:val="en-US"/>
        </w:rPr>
        <w:t xml:space="preserve">, UE is not expected to be scheduled with the PRBs </w:t>
      </w:r>
      <w:r w:rsidR="001147D3">
        <w:rPr>
          <w:rFonts w:eastAsia="ＭＳ 明朝"/>
          <w:sz w:val="22"/>
          <w:szCs w:val="22"/>
          <w:lang w:val="en-US"/>
        </w:rPr>
        <w:t>included in the in-carrier guard-</w:t>
      </w:r>
      <w:r w:rsidR="001147D3">
        <w:rPr>
          <w:rFonts w:eastAsia="ＭＳ 明朝"/>
          <w:sz w:val="22"/>
          <w:szCs w:val="22"/>
          <w:lang w:val="en-US"/>
        </w:rPr>
        <w:lastRenderedPageBreak/>
        <w:t>band.</w:t>
      </w:r>
      <w:r w:rsidR="00DC494F" w:rsidRPr="00C25A32">
        <w:rPr>
          <w:rFonts w:eastAsia="ＭＳ 明朝"/>
          <w:sz w:val="22"/>
          <w:szCs w:val="22"/>
          <w:lang w:val="en-US"/>
        </w:rPr>
        <w:t xml:space="preserve"> On the other hand, </w:t>
      </w:r>
      <w:r w:rsidR="007C4C79" w:rsidRPr="00C25A32">
        <w:rPr>
          <w:rFonts w:eastAsia="ＭＳ 明朝"/>
          <w:sz w:val="22"/>
          <w:szCs w:val="22"/>
          <w:lang w:val="en-US"/>
        </w:rPr>
        <w:t>for the rest of DL burst, since there is enough time to apply the LBT resul</w:t>
      </w:r>
      <w:r w:rsidR="003330C7">
        <w:rPr>
          <w:rFonts w:eastAsia="ＭＳ 明朝"/>
          <w:sz w:val="22"/>
          <w:szCs w:val="22"/>
          <w:lang w:val="en-US"/>
        </w:rPr>
        <w:t>t to the PDSCH scheduling, the</w:t>
      </w:r>
      <w:r w:rsidR="007C4C79" w:rsidRPr="00C25A32">
        <w:rPr>
          <w:rFonts w:eastAsia="ＭＳ 明朝"/>
          <w:sz w:val="22"/>
          <w:szCs w:val="22"/>
          <w:lang w:val="en-US"/>
        </w:rPr>
        <w:t xml:space="preserve"> in-carrier guard-band</w:t>
      </w:r>
      <w:r w:rsidR="00A1299C" w:rsidRPr="00C25A32">
        <w:rPr>
          <w:rFonts w:eastAsia="ＭＳ 明朝"/>
          <w:sz w:val="22"/>
          <w:szCs w:val="22"/>
          <w:lang w:val="en-US"/>
        </w:rPr>
        <w:t xml:space="preserve"> is available</w:t>
      </w:r>
      <w:r w:rsidR="00595B65" w:rsidRPr="00C25A32">
        <w:rPr>
          <w:rFonts w:eastAsia="ＭＳ 明朝"/>
          <w:sz w:val="22"/>
          <w:szCs w:val="22"/>
          <w:lang w:val="en-US"/>
        </w:rPr>
        <w:t xml:space="preserve"> for PDSCH</w:t>
      </w:r>
      <w:r w:rsidR="00A1299C" w:rsidRPr="00C25A32">
        <w:rPr>
          <w:rFonts w:eastAsia="ＭＳ 明朝"/>
          <w:sz w:val="22"/>
          <w:szCs w:val="22"/>
          <w:lang w:val="en-US"/>
        </w:rPr>
        <w:t xml:space="preserve"> if CCA is successful </w:t>
      </w:r>
      <w:r w:rsidR="00875A43" w:rsidRPr="00C25A32">
        <w:rPr>
          <w:rFonts w:eastAsia="ＭＳ 明朝"/>
          <w:sz w:val="22"/>
          <w:szCs w:val="22"/>
          <w:lang w:val="en-US"/>
        </w:rPr>
        <w:t>in the corresponding contiguous LBT bandwidths</w:t>
      </w:r>
      <w:r w:rsidR="005E4047" w:rsidRPr="00C25A32">
        <w:rPr>
          <w:rFonts w:eastAsia="ＭＳ 明朝"/>
          <w:sz w:val="22"/>
          <w:szCs w:val="22"/>
          <w:lang w:val="en-US"/>
        </w:rPr>
        <w:t>.</w:t>
      </w:r>
      <w:r w:rsidR="00C364E0">
        <w:rPr>
          <w:rFonts w:eastAsia="ＭＳ 明朝"/>
          <w:sz w:val="22"/>
          <w:szCs w:val="22"/>
          <w:lang w:val="en-US"/>
        </w:rPr>
        <w:t xml:space="preserve"> </w:t>
      </w:r>
      <w:r w:rsidR="00FA0F51">
        <w:rPr>
          <w:rFonts w:eastAsia="ＭＳ 明朝"/>
          <w:sz w:val="22"/>
          <w:szCs w:val="22"/>
          <w:lang w:val="en-US"/>
        </w:rPr>
        <w:t xml:space="preserve">The boundary of the in-carrier guard-band availability could be </w:t>
      </w:r>
      <w:r w:rsidR="006C1150">
        <w:rPr>
          <w:rFonts w:eastAsia="ＭＳ 明朝"/>
          <w:sz w:val="22"/>
          <w:szCs w:val="22"/>
          <w:lang w:val="en-US"/>
        </w:rPr>
        <w:t xml:space="preserve">identified by the indication of </w:t>
      </w:r>
      <w:r w:rsidR="006C1150" w:rsidRPr="006C1150">
        <w:rPr>
          <w:rFonts w:eastAsia="ＭＳ 明朝"/>
          <w:sz w:val="22"/>
          <w:szCs w:val="22"/>
          <w:lang w:val="en-US"/>
        </w:rPr>
        <w:t xml:space="preserve">available LBT bandwidths </w:t>
      </w:r>
      <w:r w:rsidR="00DC2116">
        <w:rPr>
          <w:rFonts w:eastAsia="ＭＳ 明朝"/>
          <w:sz w:val="22"/>
          <w:szCs w:val="22"/>
          <w:lang w:val="en-US"/>
        </w:rPr>
        <w:t>in GC</w:t>
      </w:r>
      <w:r w:rsidR="006C1150" w:rsidRPr="006C1150">
        <w:rPr>
          <w:rFonts w:eastAsia="ＭＳ 明朝"/>
          <w:sz w:val="22"/>
          <w:szCs w:val="22"/>
          <w:lang w:val="en-US"/>
        </w:rPr>
        <w:t>-PDCCH</w:t>
      </w:r>
      <w:r w:rsidR="00DC2116">
        <w:rPr>
          <w:rFonts w:eastAsia="ＭＳ 明朝"/>
          <w:sz w:val="22"/>
          <w:szCs w:val="22"/>
          <w:lang w:val="en-US"/>
        </w:rPr>
        <w:t>.</w:t>
      </w:r>
    </w:p>
    <w:p w14:paraId="7C4D6E25" w14:textId="35450F81" w:rsidR="00595B65" w:rsidRPr="00812120" w:rsidRDefault="00595B65" w:rsidP="003A43FF">
      <w:pPr>
        <w:spacing w:before="120" w:after="120"/>
        <w:jc w:val="both"/>
        <w:rPr>
          <w:rFonts w:eastAsia="Batang"/>
          <w:b/>
          <w:sz w:val="22"/>
          <w:szCs w:val="22"/>
          <w:lang w:eastAsia="ko-KR"/>
        </w:rPr>
      </w:pPr>
      <w:r w:rsidRPr="00812120">
        <w:rPr>
          <w:rFonts w:eastAsia="Batang"/>
          <w:b/>
          <w:sz w:val="22"/>
          <w:szCs w:val="22"/>
          <w:u w:val="single"/>
          <w:lang w:eastAsia="ko-KR"/>
        </w:rPr>
        <w:t xml:space="preserve">Proposal </w:t>
      </w:r>
      <w:r w:rsidR="00D30FE7" w:rsidRPr="00812120">
        <w:rPr>
          <w:rFonts w:eastAsia="Batang"/>
          <w:b/>
          <w:sz w:val="22"/>
          <w:szCs w:val="22"/>
          <w:u w:val="single"/>
          <w:lang w:eastAsia="ko-KR"/>
        </w:rPr>
        <w:t>2</w:t>
      </w:r>
      <w:r w:rsidRPr="00812120">
        <w:rPr>
          <w:rFonts w:eastAsia="Batang"/>
          <w:b/>
          <w:sz w:val="22"/>
          <w:szCs w:val="22"/>
          <w:lang w:eastAsia="ko-KR"/>
        </w:rPr>
        <w:t xml:space="preserve">: </w:t>
      </w:r>
      <w:r w:rsidR="003330C7" w:rsidRPr="00812120">
        <w:rPr>
          <w:rFonts w:eastAsia="Batang"/>
          <w:b/>
          <w:sz w:val="22"/>
          <w:szCs w:val="22"/>
          <w:lang w:eastAsia="ko-KR"/>
        </w:rPr>
        <w:t>Availability of i</w:t>
      </w:r>
      <w:r w:rsidRPr="00812120">
        <w:rPr>
          <w:rFonts w:eastAsia="Batang"/>
          <w:b/>
          <w:sz w:val="22"/>
          <w:szCs w:val="22"/>
          <w:lang w:eastAsia="ko-KR"/>
        </w:rPr>
        <w:t>n-carrier guard-band</w:t>
      </w:r>
      <w:r w:rsidR="00B12268" w:rsidRPr="00812120">
        <w:rPr>
          <w:rFonts w:eastAsia="Batang"/>
          <w:b/>
          <w:sz w:val="22"/>
          <w:szCs w:val="22"/>
          <w:lang w:eastAsia="ko-KR"/>
        </w:rPr>
        <w:t xml:space="preserve"> </w:t>
      </w:r>
      <w:r w:rsidR="003330C7" w:rsidRPr="00812120">
        <w:rPr>
          <w:rFonts w:eastAsia="Batang"/>
          <w:b/>
          <w:sz w:val="22"/>
          <w:szCs w:val="22"/>
          <w:lang w:eastAsia="ko-KR"/>
        </w:rPr>
        <w:t>between adjacent LBT bandwidths is defined as</w:t>
      </w:r>
      <w:r w:rsidR="00B12268" w:rsidRPr="00812120">
        <w:rPr>
          <w:rFonts w:eastAsia="Batang"/>
          <w:b/>
          <w:sz w:val="22"/>
          <w:szCs w:val="22"/>
          <w:lang w:eastAsia="ko-KR"/>
        </w:rPr>
        <w:t>:</w:t>
      </w:r>
    </w:p>
    <w:p w14:paraId="20A3EB2F" w14:textId="62260FF8" w:rsidR="00595B65" w:rsidRPr="00812120" w:rsidRDefault="00A17971" w:rsidP="003A43FF">
      <w:pPr>
        <w:pStyle w:val="afc"/>
        <w:numPr>
          <w:ilvl w:val="0"/>
          <w:numId w:val="39"/>
        </w:numPr>
        <w:spacing w:before="120" w:afterLines="50" w:after="120"/>
        <w:ind w:leftChars="0"/>
        <w:jc w:val="both"/>
        <w:rPr>
          <w:rFonts w:eastAsia="ＭＳ 明朝"/>
          <w:b/>
          <w:sz w:val="22"/>
          <w:szCs w:val="22"/>
          <w:lang w:val="en-US"/>
        </w:rPr>
      </w:pPr>
      <w:r w:rsidRPr="00812120">
        <w:rPr>
          <w:rFonts w:eastAsia="ＭＳ 明朝"/>
          <w:b/>
          <w:sz w:val="22"/>
          <w:szCs w:val="22"/>
          <w:lang w:val="en-US"/>
        </w:rPr>
        <w:t xml:space="preserve">Before the indication </w:t>
      </w:r>
      <w:r w:rsidR="0059666F" w:rsidRPr="00812120">
        <w:rPr>
          <w:rFonts w:eastAsia="ＭＳ 明朝"/>
          <w:b/>
          <w:sz w:val="22"/>
          <w:szCs w:val="22"/>
          <w:lang w:val="en-US"/>
        </w:rPr>
        <w:t xml:space="preserve">of available LBT bandwidths </w:t>
      </w:r>
      <w:r w:rsidR="00DB6601" w:rsidRPr="00812120">
        <w:rPr>
          <w:rFonts w:eastAsia="ＭＳ 明朝"/>
          <w:b/>
          <w:sz w:val="22"/>
          <w:szCs w:val="22"/>
          <w:lang w:val="en-US"/>
        </w:rPr>
        <w:t>in</w:t>
      </w:r>
      <w:r w:rsidR="0059666F" w:rsidRPr="00812120">
        <w:rPr>
          <w:rFonts w:eastAsia="ＭＳ 明朝"/>
          <w:b/>
          <w:sz w:val="22"/>
          <w:szCs w:val="22"/>
          <w:lang w:val="en-US"/>
        </w:rPr>
        <w:t xml:space="preserve"> </w:t>
      </w:r>
      <w:r w:rsidRPr="00812120">
        <w:rPr>
          <w:rFonts w:eastAsia="ＭＳ 明朝"/>
          <w:b/>
          <w:sz w:val="22"/>
          <w:szCs w:val="22"/>
          <w:lang w:val="en-US"/>
        </w:rPr>
        <w:t>GC-PDCCH</w:t>
      </w:r>
      <w:r w:rsidR="00B12268" w:rsidRPr="00812120">
        <w:rPr>
          <w:rFonts w:eastAsia="ＭＳ 明朝"/>
          <w:b/>
          <w:sz w:val="22"/>
          <w:szCs w:val="22"/>
          <w:lang w:val="en-US"/>
        </w:rPr>
        <w:t xml:space="preserve">: </w:t>
      </w:r>
      <w:r w:rsidR="003330C7" w:rsidRPr="00812120">
        <w:rPr>
          <w:rFonts w:eastAsia="ＭＳ 明朝"/>
          <w:b/>
          <w:sz w:val="22"/>
          <w:szCs w:val="22"/>
          <w:lang w:val="en-US"/>
        </w:rPr>
        <w:t>I</w:t>
      </w:r>
      <w:r w:rsidR="00B12268" w:rsidRPr="00812120">
        <w:rPr>
          <w:rFonts w:eastAsia="ＭＳ 明朝"/>
          <w:b/>
          <w:sz w:val="22"/>
          <w:szCs w:val="22"/>
          <w:lang w:val="en-US"/>
        </w:rPr>
        <w:t>n-carrier guard-band is fixed to be unavailable for PDSCH</w:t>
      </w:r>
      <w:r w:rsidR="001147D3" w:rsidRPr="00812120">
        <w:rPr>
          <w:rFonts w:eastAsia="ＭＳ 明朝"/>
          <w:b/>
          <w:sz w:val="22"/>
          <w:szCs w:val="22"/>
          <w:lang w:val="en-US"/>
        </w:rPr>
        <w:t xml:space="preserve"> and UE is not expected to be scheduled with the PRBs included in the in-carrier guard-band.</w:t>
      </w:r>
    </w:p>
    <w:p w14:paraId="5F1C342D" w14:textId="4321B28E" w:rsidR="00B12268" w:rsidRPr="00812120" w:rsidRDefault="0009786A" w:rsidP="003A43FF">
      <w:pPr>
        <w:pStyle w:val="afc"/>
        <w:numPr>
          <w:ilvl w:val="0"/>
          <w:numId w:val="39"/>
        </w:numPr>
        <w:spacing w:before="120" w:afterLines="50" w:after="120"/>
        <w:ind w:leftChars="0"/>
        <w:jc w:val="both"/>
        <w:rPr>
          <w:rFonts w:eastAsia="ＭＳ 明朝"/>
          <w:b/>
          <w:sz w:val="22"/>
          <w:szCs w:val="22"/>
          <w:lang w:val="en-US"/>
        </w:rPr>
      </w:pPr>
      <w:r w:rsidRPr="00812120">
        <w:rPr>
          <w:rFonts w:eastAsia="ＭＳ 明朝"/>
          <w:b/>
          <w:sz w:val="22"/>
          <w:szCs w:val="22"/>
          <w:lang w:val="en-US"/>
        </w:rPr>
        <w:t xml:space="preserve">After the indication of available LBT bandwidths </w:t>
      </w:r>
      <w:r w:rsidR="00DB6601" w:rsidRPr="00812120">
        <w:rPr>
          <w:rFonts w:eastAsia="ＭＳ 明朝"/>
          <w:b/>
          <w:sz w:val="22"/>
          <w:szCs w:val="22"/>
          <w:lang w:val="en-US"/>
        </w:rPr>
        <w:t>in</w:t>
      </w:r>
      <w:r w:rsidRPr="00812120">
        <w:rPr>
          <w:rFonts w:eastAsia="ＭＳ 明朝"/>
          <w:b/>
          <w:sz w:val="22"/>
          <w:szCs w:val="22"/>
          <w:lang w:val="en-US"/>
        </w:rPr>
        <w:t xml:space="preserve"> GC-PDCCH</w:t>
      </w:r>
      <w:r w:rsidR="00B12268" w:rsidRPr="00812120">
        <w:rPr>
          <w:rFonts w:eastAsia="ＭＳ 明朝"/>
          <w:b/>
          <w:sz w:val="22"/>
          <w:szCs w:val="22"/>
          <w:lang w:val="en-US"/>
        </w:rPr>
        <w:t xml:space="preserve">: </w:t>
      </w:r>
      <w:r w:rsidR="003330C7" w:rsidRPr="00812120">
        <w:rPr>
          <w:rFonts w:eastAsia="ＭＳ 明朝"/>
          <w:b/>
          <w:sz w:val="22"/>
          <w:szCs w:val="22"/>
          <w:lang w:val="en-US"/>
        </w:rPr>
        <w:t>I</w:t>
      </w:r>
      <w:r w:rsidR="00B12268" w:rsidRPr="00812120">
        <w:rPr>
          <w:rFonts w:eastAsia="ＭＳ 明朝"/>
          <w:b/>
          <w:sz w:val="22"/>
          <w:szCs w:val="22"/>
          <w:lang w:val="en-US"/>
        </w:rPr>
        <w:t>n-carrier guard-band is available for PDSCH if CCA is successful in the corresponding contiguous LBT bandwidths</w:t>
      </w:r>
      <w:r w:rsidR="001147D3" w:rsidRPr="00812120">
        <w:rPr>
          <w:rFonts w:eastAsia="ＭＳ 明朝"/>
          <w:b/>
          <w:sz w:val="22"/>
          <w:szCs w:val="22"/>
          <w:lang w:val="en-US"/>
        </w:rPr>
        <w:t>.</w:t>
      </w:r>
    </w:p>
    <w:p w14:paraId="5926888D" w14:textId="77777777" w:rsidR="00CF5707" w:rsidRPr="00C05C4D" w:rsidRDefault="00CF5707" w:rsidP="00082450">
      <w:pPr>
        <w:spacing w:afterLines="50" w:after="120"/>
        <w:rPr>
          <w:rFonts w:eastAsia="ＭＳ 明朝"/>
          <w:sz w:val="22"/>
          <w:szCs w:val="22"/>
        </w:rPr>
      </w:pPr>
    </w:p>
    <w:p w14:paraId="4C2E19BB" w14:textId="55560169" w:rsidR="00CE7DF9" w:rsidRPr="00CE7DF9" w:rsidRDefault="00CE7DF9" w:rsidP="00CE7DF9"/>
    <w:p w14:paraId="0E6AE862" w14:textId="6758E573" w:rsidR="007D02E5" w:rsidRPr="00CE7DF9" w:rsidRDefault="008A4A93" w:rsidP="00CE7DF9">
      <w:pPr>
        <w:pStyle w:val="1"/>
        <w:numPr>
          <w:ilvl w:val="0"/>
          <w:numId w:val="29"/>
        </w:numPr>
        <w:rPr>
          <w:rFonts w:eastAsia="ＭＳ 明朝"/>
          <w:b/>
          <w:lang w:eastAsia="en-US"/>
        </w:rPr>
      </w:pPr>
      <w:r w:rsidRPr="00CE7DF9">
        <w:rPr>
          <w:rFonts w:eastAsia="ＭＳ 明朝" w:hint="eastAsia"/>
          <w:b/>
          <w:bCs/>
          <w:szCs w:val="24"/>
          <w:lang w:val="en-US"/>
        </w:rPr>
        <w:t>Conclusion</w:t>
      </w:r>
    </w:p>
    <w:p w14:paraId="3661BAE3" w14:textId="75DAF385" w:rsidR="00FE79AE" w:rsidRDefault="00FE79AE" w:rsidP="003A43FF">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0D12C565" w14:textId="58B568DD" w:rsidR="000539BF" w:rsidRPr="000040F4" w:rsidRDefault="000539BF" w:rsidP="003A43FF">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sidR="00D30FE7">
        <w:rPr>
          <w:rFonts w:eastAsia="Batang"/>
          <w:b/>
          <w:sz w:val="22"/>
          <w:szCs w:val="22"/>
          <w:u w:val="single"/>
          <w:lang w:eastAsia="ko-KR"/>
        </w:rPr>
        <w:t>1</w:t>
      </w:r>
      <w:r w:rsidRPr="00E318DE">
        <w:rPr>
          <w:rFonts w:eastAsia="Batang"/>
          <w:b/>
          <w:sz w:val="22"/>
          <w:szCs w:val="22"/>
          <w:lang w:eastAsia="ko-KR"/>
        </w:rPr>
        <w:t xml:space="preserve">: </w:t>
      </w:r>
      <w:r>
        <w:rPr>
          <w:rFonts w:eastAsia="Batang"/>
          <w:b/>
          <w:sz w:val="22"/>
          <w:szCs w:val="22"/>
          <w:lang w:eastAsia="ko-KR"/>
        </w:rPr>
        <w:t xml:space="preserve">In case of wideband operation case 2 where </w:t>
      </w:r>
      <w:r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 according to CORESET/search space configurations.</w:t>
      </w:r>
    </w:p>
    <w:p w14:paraId="7CDE389F" w14:textId="77777777" w:rsidR="00D30FE7" w:rsidRPr="00812120" w:rsidRDefault="00D30FE7" w:rsidP="00D30FE7">
      <w:pPr>
        <w:spacing w:before="120" w:after="120"/>
        <w:jc w:val="both"/>
        <w:rPr>
          <w:rFonts w:eastAsia="Batang"/>
          <w:b/>
          <w:sz w:val="22"/>
          <w:szCs w:val="22"/>
          <w:lang w:eastAsia="ko-KR"/>
        </w:rPr>
      </w:pPr>
      <w:r w:rsidRPr="00812120">
        <w:rPr>
          <w:rFonts w:eastAsia="Batang"/>
          <w:b/>
          <w:sz w:val="22"/>
          <w:szCs w:val="22"/>
          <w:u w:val="single"/>
          <w:lang w:eastAsia="ko-KR"/>
        </w:rPr>
        <w:t>Proposal 2</w:t>
      </w:r>
      <w:r w:rsidRPr="00812120">
        <w:rPr>
          <w:rFonts w:eastAsia="Batang"/>
          <w:b/>
          <w:sz w:val="22"/>
          <w:szCs w:val="22"/>
          <w:lang w:eastAsia="ko-KR"/>
        </w:rPr>
        <w:t>: Availability of in-carrier guard-band between adjacent LBT bandwidths is defined as:</w:t>
      </w:r>
    </w:p>
    <w:p w14:paraId="742F321B" w14:textId="77777777" w:rsidR="00D30FE7" w:rsidRPr="00812120" w:rsidRDefault="00D30FE7" w:rsidP="00D30FE7">
      <w:pPr>
        <w:pStyle w:val="afc"/>
        <w:numPr>
          <w:ilvl w:val="0"/>
          <w:numId w:val="39"/>
        </w:numPr>
        <w:spacing w:before="120" w:afterLines="50" w:after="120"/>
        <w:ind w:leftChars="0"/>
        <w:jc w:val="both"/>
        <w:rPr>
          <w:rFonts w:eastAsia="ＭＳ 明朝"/>
          <w:b/>
          <w:sz w:val="22"/>
          <w:szCs w:val="22"/>
          <w:lang w:val="en-US"/>
        </w:rPr>
      </w:pPr>
      <w:r w:rsidRPr="00812120">
        <w:rPr>
          <w:rFonts w:eastAsia="ＭＳ 明朝"/>
          <w:b/>
          <w:sz w:val="22"/>
          <w:szCs w:val="22"/>
          <w:lang w:val="en-US"/>
        </w:rPr>
        <w:t>Before the indication of available LBT bandwidths in GC-PDCCH: In-carrier guard-band is fixed to be unavailable for PDSCH and UE is not expected to be scheduled with the PRBs included in the in-carrier guard-band.</w:t>
      </w:r>
    </w:p>
    <w:p w14:paraId="51A229DF" w14:textId="77777777" w:rsidR="00D30FE7" w:rsidRPr="00812120" w:rsidRDefault="00D30FE7" w:rsidP="00D30FE7">
      <w:pPr>
        <w:pStyle w:val="afc"/>
        <w:numPr>
          <w:ilvl w:val="0"/>
          <w:numId w:val="39"/>
        </w:numPr>
        <w:spacing w:before="120" w:afterLines="50" w:after="120"/>
        <w:ind w:leftChars="0"/>
        <w:jc w:val="both"/>
        <w:rPr>
          <w:rFonts w:eastAsia="ＭＳ 明朝"/>
          <w:b/>
          <w:sz w:val="22"/>
          <w:szCs w:val="22"/>
          <w:lang w:val="en-US"/>
        </w:rPr>
      </w:pPr>
      <w:r w:rsidRPr="00812120">
        <w:rPr>
          <w:rFonts w:eastAsia="ＭＳ 明朝"/>
          <w:b/>
          <w:sz w:val="22"/>
          <w:szCs w:val="22"/>
          <w:lang w:val="en-US"/>
        </w:rPr>
        <w:t>After the indication of available LBT bandwidths in GC-PDCCH: In-carrier guard-band is available for PDSCH if CCA is successful in the corresponding contiguous LBT bandwidths.</w:t>
      </w:r>
    </w:p>
    <w:p w14:paraId="21187D7A" w14:textId="77777777" w:rsidR="00241088" w:rsidRPr="00D30FE7" w:rsidRDefault="00241088" w:rsidP="00FD306A">
      <w:pPr>
        <w:spacing w:before="120" w:after="120"/>
        <w:rPr>
          <w:rFonts w:eastAsia="Batang"/>
          <w:b/>
          <w:sz w:val="22"/>
          <w:szCs w:val="22"/>
          <w:u w:val="single"/>
          <w:lang w:val="en-US" w:eastAsia="ko-KR"/>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7F6318B" w14:textId="0483E364" w:rsidR="00C0396A" w:rsidRPr="00A95E9C" w:rsidRDefault="00C0396A" w:rsidP="00166C69">
      <w:pPr>
        <w:pStyle w:val="afc"/>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00A67608">
        <w:rPr>
          <w:rFonts w:eastAsia="ＭＳ 明朝"/>
          <w:sz w:val="22"/>
        </w:rPr>
        <w:t>bis</w:t>
      </w:r>
      <w:r w:rsidRPr="00A95E9C">
        <w:rPr>
          <w:rFonts w:eastAsia="ＭＳ 明朝"/>
          <w:sz w:val="22"/>
        </w:rPr>
        <w:t xml:space="preserve">, RAN1 Chairman’s Notes, </w:t>
      </w:r>
      <w:r w:rsidR="00A67608">
        <w:rPr>
          <w:rFonts w:eastAsia="ＭＳ 明朝"/>
          <w:sz w:val="22"/>
        </w:rPr>
        <w:t>October</w:t>
      </w:r>
      <w:r w:rsidRPr="00A95E9C">
        <w:rPr>
          <w:rFonts w:eastAsia="ＭＳ 明朝"/>
          <w:sz w:val="22"/>
        </w:rPr>
        <w:t xml:space="preserve"> 2019.</w:t>
      </w:r>
    </w:p>
    <w:p w14:paraId="09BCAC7A" w14:textId="62A32690" w:rsidR="006D0257" w:rsidRPr="00141ABF" w:rsidRDefault="009E6101" w:rsidP="00166C69">
      <w:pPr>
        <w:pStyle w:val="afc"/>
        <w:numPr>
          <w:ilvl w:val="0"/>
          <w:numId w:val="4"/>
        </w:numPr>
        <w:spacing w:afterLines="50" w:after="120"/>
        <w:ind w:leftChars="0"/>
        <w:jc w:val="both"/>
        <w:rPr>
          <w:rFonts w:eastAsia="ＭＳ 明朝"/>
          <w:sz w:val="22"/>
        </w:rPr>
      </w:pPr>
      <w:r>
        <w:rPr>
          <w:rFonts w:eastAsia="ＭＳ 明朝"/>
          <w:sz w:val="22"/>
        </w:rPr>
        <w:t xml:space="preserve">3GPP, </w:t>
      </w:r>
      <w:r w:rsidR="006D0257">
        <w:rPr>
          <w:rFonts w:eastAsia="ＭＳ 明朝"/>
          <w:sz w:val="22"/>
        </w:rPr>
        <w:t>RP-191581, Qualcomm, “</w:t>
      </w:r>
      <w:r w:rsidR="006D0257" w:rsidRPr="00BB47F8">
        <w:rPr>
          <w:rFonts w:eastAsia="ＭＳ 明朝"/>
          <w:sz w:val="22"/>
        </w:rPr>
        <w:t>Guidance on essential functionality for NR-U</w:t>
      </w:r>
      <w:r w:rsidR="006D0257">
        <w:rPr>
          <w:rFonts w:eastAsia="ＭＳ 明朝"/>
          <w:sz w:val="22"/>
        </w:rPr>
        <w:t>,” June 2019.</w:t>
      </w:r>
    </w:p>
    <w:p w14:paraId="3A9A7416" w14:textId="0DDBE83A" w:rsidR="00DE77D0" w:rsidRPr="00166C69" w:rsidRDefault="00DE77D0" w:rsidP="00DE77D0">
      <w:pPr>
        <w:rPr>
          <w:rFonts w:eastAsia="ＭＳ 明朝"/>
          <w:sz w:val="22"/>
        </w:rPr>
      </w:pPr>
    </w:p>
    <w:sectPr w:rsidR="00DE77D0" w:rsidRPr="00166C6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D5F0B" w14:textId="77777777" w:rsidR="00F9551D" w:rsidRDefault="00F9551D">
      <w:r>
        <w:separator/>
      </w:r>
    </w:p>
  </w:endnote>
  <w:endnote w:type="continuationSeparator" w:id="0">
    <w:p w14:paraId="2E07614C" w14:textId="77777777" w:rsidR="00F9551D" w:rsidRDefault="00F9551D">
      <w:r>
        <w:continuationSeparator/>
      </w:r>
    </w:p>
  </w:endnote>
  <w:endnote w:type="continuationNotice" w:id="1">
    <w:p w14:paraId="7CD913B2" w14:textId="77777777" w:rsidR="00F9551D" w:rsidRDefault="00F95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36FD0C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65E20">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65E2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4822E" w14:textId="77777777" w:rsidR="00F9551D" w:rsidRDefault="00F9551D">
      <w:r>
        <w:separator/>
      </w:r>
    </w:p>
  </w:footnote>
  <w:footnote w:type="continuationSeparator" w:id="0">
    <w:p w14:paraId="11975F00" w14:textId="77777777" w:rsidR="00F9551D" w:rsidRDefault="00F9551D">
      <w:r>
        <w:continuationSeparator/>
      </w:r>
    </w:p>
  </w:footnote>
  <w:footnote w:type="continuationNotice" w:id="1">
    <w:p w14:paraId="47050D0E" w14:textId="77777777" w:rsidR="00F9551D" w:rsidRDefault="00F955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92B90"/>
    <w:multiLevelType w:val="hybridMultilevel"/>
    <w:tmpl w:val="FB50E652"/>
    <w:lvl w:ilvl="0" w:tplc="C3EE05D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04728E"/>
    <w:multiLevelType w:val="hybridMultilevel"/>
    <w:tmpl w:val="F7A8A778"/>
    <w:lvl w:ilvl="0" w:tplc="2B466B5E">
      <w:start w:val="1"/>
      <w:numFmt w:val="bullet"/>
      <w:lvlText w:val="–"/>
      <w:lvlJc w:val="left"/>
      <w:pPr>
        <w:tabs>
          <w:tab w:val="num" w:pos="720"/>
        </w:tabs>
        <w:ind w:left="720" w:hanging="360"/>
      </w:pPr>
      <w:rPr>
        <w:rFonts w:ascii="ＭＳ Ｐゴシック" w:hAnsi="ＭＳ Ｐゴシック" w:hint="default"/>
      </w:rPr>
    </w:lvl>
    <w:lvl w:ilvl="1" w:tplc="8A9E7128">
      <w:start w:val="1"/>
      <w:numFmt w:val="bullet"/>
      <w:lvlText w:val="–"/>
      <w:lvlJc w:val="left"/>
      <w:pPr>
        <w:tabs>
          <w:tab w:val="num" w:pos="1440"/>
        </w:tabs>
        <w:ind w:left="1440" w:hanging="360"/>
      </w:pPr>
      <w:rPr>
        <w:rFonts w:ascii="ＭＳ Ｐゴシック" w:hAnsi="ＭＳ Ｐゴシック" w:hint="default"/>
      </w:rPr>
    </w:lvl>
    <w:lvl w:ilvl="2" w:tplc="8BC0E2CC" w:tentative="1">
      <w:start w:val="1"/>
      <w:numFmt w:val="bullet"/>
      <w:lvlText w:val="–"/>
      <w:lvlJc w:val="left"/>
      <w:pPr>
        <w:tabs>
          <w:tab w:val="num" w:pos="2160"/>
        </w:tabs>
        <w:ind w:left="2160" w:hanging="360"/>
      </w:pPr>
      <w:rPr>
        <w:rFonts w:ascii="ＭＳ Ｐゴシック" w:hAnsi="ＭＳ Ｐゴシック" w:hint="default"/>
      </w:rPr>
    </w:lvl>
    <w:lvl w:ilvl="3" w:tplc="55D090E2" w:tentative="1">
      <w:start w:val="1"/>
      <w:numFmt w:val="bullet"/>
      <w:lvlText w:val="–"/>
      <w:lvlJc w:val="left"/>
      <w:pPr>
        <w:tabs>
          <w:tab w:val="num" w:pos="2880"/>
        </w:tabs>
        <w:ind w:left="2880" w:hanging="360"/>
      </w:pPr>
      <w:rPr>
        <w:rFonts w:ascii="ＭＳ Ｐゴシック" w:hAnsi="ＭＳ Ｐゴシック" w:hint="default"/>
      </w:rPr>
    </w:lvl>
    <w:lvl w:ilvl="4" w:tplc="A1A27212" w:tentative="1">
      <w:start w:val="1"/>
      <w:numFmt w:val="bullet"/>
      <w:lvlText w:val="–"/>
      <w:lvlJc w:val="left"/>
      <w:pPr>
        <w:tabs>
          <w:tab w:val="num" w:pos="3600"/>
        </w:tabs>
        <w:ind w:left="3600" w:hanging="360"/>
      </w:pPr>
      <w:rPr>
        <w:rFonts w:ascii="ＭＳ Ｐゴシック" w:hAnsi="ＭＳ Ｐゴシック" w:hint="default"/>
      </w:rPr>
    </w:lvl>
    <w:lvl w:ilvl="5" w:tplc="A2007B78" w:tentative="1">
      <w:start w:val="1"/>
      <w:numFmt w:val="bullet"/>
      <w:lvlText w:val="–"/>
      <w:lvlJc w:val="left"/>
      <w:pPr>
        <w:tabs>
          <w:tab w:val="num" w:pos="4320"/>
        </w:tabs>
        <w:ind w:left="4320" w:hanging="360"/>
      </w:pPr>
      <w:rPr>
        <w:rFonts w:ascii="ＭＳ Ｐゴシック" w:hAnsi="ＭＳ Ｐゴシック" w:hint="default"/>
      </w:rPr>
    </w:lvl>
    <w:lvl w:ilvl="6" w:tplc="26ACD8C6" w:tentative="1">
      <w:start w:val="1"/>
      <w:numFmt w:val="bullet"/>
      <w:lvlText w:val="–"/>
      <w:lvlJc w:val="left"/>
      <w:pPr>
        <w:tabs>
          <w:tab w:val="num" w:pos="5040"/>
        </w:tabs>
        <w:ind w:left="5040" w:hanging="360"/>
      </w:pPr>
      <w:rPr>
        <w:rFonts w:ascii="ＭＳ Ｐゴシック" w:hAnsi="ＭＳ Ｐゴシック" w:hint="default"/>
      </w:rPr>
    </w:lvl>
    <w:lvl w:ilvl="7" w:tplc="DACC71C8" w:tentative="1">
      <w:start w:val="1"/>
      <w:numFmt w:val="bullet"/>
      <w:lvlText w:val="–"/>
      <w:lvlJc w:val="left"/>
      <w:pPr>
        <w:tabs>
          <w:tab w:val="num" w:pos="5760"/>
        </w:tabs>
        <w:ind w:left="5760" w:hanging="360"/>
      </w:pPr>
      <w:rPr>
        <w:rFonts w:ascii="ＭＳ Ｐゴシック" w:hAnsi="ＭＳ Ｐゴシック" w:hint="default"/>
      </w:rPr>
    </w:lvl>
    <w:lvl w:ilvl="8" w:tplc="841ED91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8A7D9B"/>
    <w:multiLevelType w:val="hybridMultilevel"/>
    <w:tmpl w:val="DD827D68"/>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BE6601"/>
    <w:multiLevelType w:val="hybridMultilevel"/>
    <w:tmpl w:val="ED30FA62"/>
    <w:lvl w:ilvl="0" w:tplc="81D8CC4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F72DC1"/>
    <w:multiLevelType w:val="hybridMultilevel"/>
    <w:tmpl w:val="FCA8433E"/>
    <w:lvl w:ilvl="0" w:tplc="C3EE05D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01F1C15"/>
    <w:multiLevelType w:val="hybridMultilevel"/>
    <w:tmpl w:val="FDF8CAB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8D67E0"/>
    <w:multiLevelType w:val="hybridMultilevel"/>
    <w:tmpl w:val="A95A7EB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7A36F34"/>
    <w:multiLevelType w:val="hybridMultilevel"/>
    <w:tmpl w:val="5B1A817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ED6748"/>
    <w:multiLevelType w:val="hybridMultilevel"/>
    <w:tmpl w:val="F9164F0C"/>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7"/>
  </w:num>
  <w:num w:numId="4">
    <w:abstractNumId w:val="10"/>
  </w:num>
  <w:num w:numId="5">
    <w:abstractNumId w:val="41"/>
  </w:num>
  <w:num w:numId="6">
    <w:abstractNumId w:val="29"/>
  </w:num>
  <w:num w:numId="7">
    <w:abstractNumId w:val="39"/>
  </w:num>
  <w:num w:numId="8">
    <w:abstractNumId w:val="7"/>
  </w:num>
  <w:num w:numId="9">
    <w:abstractNumId w:val="25"/>
  </w:num>
  <w:num w:numId="10">
    <w:abstractNumId w:val="15"/>
  </w:num>
  <w:num w:numId="11">
    <w:abstractNumId w:val="30"/>
  </w:num>
  <w:num w:numId="12">
    <w:abstractNumId w:val="37"/>
  </w:num>
  <w:num w:numId="13">
    <w:abstractNumId w:val="35"/>
  </w:num>
  <w:num w:numId="14">
    <w:abstractNumId w:val="36"/>
  </w:num>
  <w:num w:numId="15">
    <w:abstractNumId w:val="34"/>
  </w:num>
  <w:num w:numId="16">
    <w:abstractNumId w:val="6"/>
  </w:num>
  <w:num w:numId="17">
    <w:abstractNumId w:val="19"/>
  </w:num>
  <w:num w:numId="18">
    <w:abstractNumId w:val="20"/>
  </w:num>
  <w:num w:numId="19">
    <w:abstractNumId w:val="4"/>
  </w:num>
  <w:num w:numId="20">
    <w:abstractNumId w:val="8"/>
  </w:num>
  <w:num w:numId="21">
    <w:abstractNumId w:val="14"/>
  </w:num>
  <w:num w:numId="22">
    <w:abstractNumId w:val="22"/>
  </w:num>
  <w:num w:numId="23">
    <w:abstractNumId w:val="27"/>
  </w:num>
  <w:num w:numId="24">
    <w:abstractNumId w:val="26"/>
  </w:num>
  <w:num w:numId="25">
    <w:abstractNumId w:val="3"/>
  </w:num>
  <w:num w:numId="26">
    <w:abstractNumId w:val="5"/>
  </w:num>
  <w:num w:numId="27">
    <w:abstractNumId w:val="31"/>
  </w:num>
  <w:num w:numId="28">
    <w:abstractNumId w:val="13"/>
  </w:num>
  <w:num w:numId="29">
    <w:abstractNumId w:val="23"/>
  </w:num>
  <w:num w:numId="30">
    <w:abstractNumId w:val="38"/>
  </w:num>
  <w:num w:numId="31">
    <w:abstractNumId w:val="24"/>
  </w:num>
  <w:num w:numId="32">
    <w:abstractNumId w:val="21"/>
  </w:num>
  <w:num w:numId="33">
    <w:abstractNumId w:val="11"/>
  </w:num>
  <w:num w:numId="34">
    <w:abstractNumId w:val="32"/>
  </w:num>
  <w:num w:numId="35">
    <w:abstractNumId w:val="28"/>
  </w:num>
  <w:num w:numId="36">
    <w:abstractNumId w:val="12"/>
  </w:num>
  <w:num w:numId="37">
    <w:abstractNumId w:val="42"/>
  </w:num>
  <w:num w:numId="38">
    <w:abstractNumId w:val="9"/>
  </w:num>
  <w:num w:numId="39">
    <w:abstractNumId w:val="2"/>
  </w:num>
  <w:num w:numId="40">
    <w:abstractNumId w:val="16"/>
  </w:num>
  <w:num w:numId="41">
    <w:abstractNumId w:val="18"/>
  </w:num>
  <w:num w:numId="42">
    <w:abstractNumId w:val="40"/>
  </w:num>
  <w:num w:numId="4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0F4"/>
    <w:rsid w:val="000041B5"/>
    <w:rsid w:val="000044B4"/>
    <w:rsid w:val="00004C7C"/>
    <w:rsid w:val="00004DDA"/>
    <w:rsid w:val="0000530F"/>
    <w:rsid w:val="00005493"/>
    <w:rsid w:val="00005541"/>
    <w:rsid w:val="00005B74"/>
    <w:rsid w:val="00005C60"/>
    <w:rsid w:val="0000600D"/>
    <w:rsid w:val="00006248"/>
    <w:rsid w:val="00006D37"/>
    <w:rsid w:val="000070BF"/>
    <w:rsid w:val="00007533"/>
    <w:rsid w:val="000075B2"/>
    <w:rsid w:val="00007AD6"/>
    <w:rsid w:val="00007B5C"/>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D0B"/>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29F"/>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C99"/>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A96"/>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9BF"/>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6A3"/>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5B0"/>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714"/>
    <w:rsid w:val="00081C3F"/>
    <w:rsid w:val="00081C52"/>
    <w:rsid w:val="00081FAB"/>
    <w:rsid w:val="0008201A"/>
    <w:rsid w:val="00082450"/>
    <w:rsid w:val="00082A22"/>
    <w:rsid w:val="00082C00"/>
    <w:rsid w:val="00082E51"/>
    <w:rsid w:val="00083306"/>
    <w:rsid w:val="00083382"/>
    <w:rsid w:val="000834F3"/>
    <w:rsid w:val="000835BC"/>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86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5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42C"/>
    <w:rsid w:val="000C1DBE"/>
    <w:rsid w:val="000C1F3B"/>
    <w:rsid w:val="000C2058"/>
    <w:rsid w:val="000C21A2"/>
    <w:rsid w:val="000C259D"/>
    <w:rsid w:val="000C2B17"/>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5E6"/>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656"/>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3CC6"/>
    <w:rsid w:val="001142BF"/>
    <w:rsid w:val="001143A3"/>
    <w:rsid w:val="001147D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813"/>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790"/>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AC8"/>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3A"/>
    <w:rsid w:val="00143B01"/>
    <w:rsid w:val="00143DBE"/>
    <w:rsid w:val="0014415F"/>
    <w:rsid w:val="00144294"/>
    <w:rsid w:val="0014491B"/>
    <w:rsid w:val="00144EE2"/>
    <w:rsid w:val="0014501E"/>
    <w:rsid w:val="00145072"/>
    <w:rsid w:val="001450AD"/>
    <w:rsid w:val="001456A7"/>
    <w:rsid w:val="001457A0"/>
    <w:rsid w:val="00145F02"/>
    <w:rsid w:val="001460DE"/>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C04"/>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C69"/>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2E"/>
    <w:rsid w:val="001B65E6"/>
    <w:rsid w:val="001B6625"/>
    <w:rsid w:val="001B6F97"/>
    <w:rsid w:val="001B6FAA"/>
    <w:rsid w:val="001B703A"/>
    <w:rsid w:val="001B7130"/>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D11"/>
    <w:rsid w:val="001E40F0"/>
    <w:rsid w:val="001E421A"/>
    <w:rsid w:val="001E4282"/>
    <w:rsid w:val="001E42AC"/>
    <w:rsid w:val="001E42B3"/>
    <w:rsid w:val="001E42D7"/>
    <w:rsid w:val="001E4340"/>
    <w:rsid w:val="001E4B78"/>
    <w:rsid w:val="001E4F1B"/>
    <w:rsid w:val="001E4F6D"/>
    <w:rsid w:val="001E505D"/>
    <w:rsid w:val="001E590C"/>
    <w:rsid w:val="001E5912"/>
    <w:rsid w:val="001E6168"/>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380"/>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333"/>
    <w:rsid w:val="00205C3E"/>
    <w:rsid w:val="00205C47"/>
    <w:rsid w:val="00206217"/>
    <w:rsid w:val="0020637C"/>
    <w:rsid w:val="00206598"/>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BD8"/>
    <w:rsid w:val="002122BB"/>
    <w:rsid w:val="00212447"/>
    <w:rsid w:val="00212557"/>
    <w:rsid w:val="00212805"/>
    <w:rsid w:val="00214338"/>
    <w:rsid w:val="0021460B"/>
    <w:rsid w:val="00214F2E"/>
    <w:rsid w:val="00215106"/>
    <w:rsid w:val="0021532E"/>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088"/>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220"/>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A5"/>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6AB"/>
    <w:rsid w:val="002727EE"/>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3DB3"/>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0F2"/>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816"/>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F94"/>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F9"/>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392"/>
    <w:rsid w:val="003004D5"/>
    <w:rsid w:val="00300993"/>
    <w:rsid w:val="00300A3C"/>
    <w:rsid w:val="00300AB2"/>
    <w:rsid w:val="00300D00"/>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5E15"/>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C24"/>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29"/>
    <w:rsid w:val="00330F77"/>
    <w:rsid w:val="00331351"/>
    <w:rsid w:val="00331413"/>
    <w:rsid w:val="0033191F"/>
    <w:rsid w:val="00331A49"/>
    <w:rsid w:val="00331C24"/>
    <w:rsid w:val="00331D8C"/>
    <w:rsid w:val="00331EFF"/>
    <w:rsid w:val="00332667"/>
    <w:rsid w:val="0033290C"/>
    <w:rsid w:val="00332BCF"/>
    <w:rsid w:val="00333064"/>
    <w:rsid w:val="003330C7"/>
    <w:rsid w:val="00333547"/>
    <w:rsid w:val="00333E28"/>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BB1"/>
    <w:rsid w:val="00343FD4"/>
    <w:rsid w:val="003440F9"/>
    <w:rsid w:val="00344149"/>
    <w:rsid w:val="003442F3"/>
    <w:rsid w:val="00344430"/>
    <w:rsid w:val="003447F4"/>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D3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81B"/>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27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3FF"/>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16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37"/>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1B3"/>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3F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48A"/>
    <w:rsid w:val="003F4CA0"/>
    <w:rsid w:val="003F4D1B"/>
    <w:rsid w:val="003F4D3E"/>
    <w:rsid w:val="003F57D4"/>
    <w:rsid w:val="003F5922"/>
    <w:rsid w:val="003F5BB3"/>
    <w:rsid w:val="003F5D1D"/>
    <w:rsid w:val="003F6365"/>
    <w:rsid w:val="003F64A2"/>
    <w:rsid w:val="003F6745"/>
    <w:rsid w:val="003F67C0"/>
    <w:rsid w:val="003F71AB"/>
    <w:rsid w:val="003F72E0"/>
    <w:rsid w:val="003F73D8"/>
    <w:rsid w:val="003F7789"/>
    <w:rsid w:val="003F7995"/>
    <w:rsid w:val="003F79C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B09"/>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5A6D"/>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3E3"/>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5C8"/>
    <w:rsid w:val="00462BDA"/>
    <w:rsid w:val="004635FA"/>
    <w:rsid w:val="00463717"/>
    <w:rsid w:val="00463740"/>
    <w:rsid w:val="00463946"/>
    <w:rsid w:val="00463E75"/>
    <w:rsid w:val="00463F22"/>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AAF"/>
    <w:rsid w:val="00485B60"/>
    <w:rsid w:val="00485B9E"/>
    <w:rsid w:val="00485D81"/>
    <w:rsid w:val="00486042"/>
    <w:rsid w:val="004860E7"/>
    <w:rsid w:val="00486728"/>
    <w:rsid w:val="0048677C"/>
    <w:rsid w:val="00486858"/>
    <w:rsid w:val="00486BBB"/>
    <w:rsid w:val="00486F48"/>
    <w:rsid w:val="00487507"/>
    <w:rsid w:val="00490150"/>
    <w:rsid w:val="004902B6"/>
    <w:rsid w:val="004904E5"/>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9EE"/>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03"/>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3D2"/>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2AB"/>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AB6"/>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29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0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F9"/>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3C"/>
    <w:rsid w:val="00594E86"/>
    <w:rsid w:val="00595281"/>
    <w:rsid w:val="005953E2"/>
    <w:rsid w:val="00595AC8"/>
    <w:rsid w:val="00595B39"/>
    <w:rsid w:val="00595B65"/>
    <w:rsid w:val="00595EA4"/>
    <w:rsid w:val="00596038"/>
    <w:rsid w:val="0059666F"/>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2A7B"/>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6C6"/>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04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C4A"/>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0EF"/>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4F7"/>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02"/>
    <w:rsid w:val="006346FB"/>
    <w:rsid w:val="00634866"/>
    <w:rsid w:val="0063497C"/>
    <w:rsid w:val="006349B5"/>
    <w:rsid w:val="00634B26"/>
    <w:rsid w:val="00634C56"/>
    <w:rsid w:val="00634D3D"/>
    <w:rsid w:val="00634F15"/>
    <w:rsid w:val="00635B79"/>
    <w:rsid w:val="00636464"/>
    <w:rsid w:val="0063666B"/>
    <w:rsid w:val="00636A27"/>
    <w:rsid w:val="006372B6"/>
    <w:rsid w:val="00637669"/>
    <w:rsid w:val="006377C8"/>
    <w:rsid w:val="00637EBC"/>
    <w:rsid w:val="00640054"/>
    <w:rsid w:val="0064014C"/>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866"/>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0AA"/>
    <w:rsid w:val="0065769A"/>
    <w:rsid w:val="00657BC5"/>
    <w:rsid w:val="00660112"/>
    <w:rsid w:val="0066020C"/>
    <w:rsid w:val="0066083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0F2C"/>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48"/>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C88"/>
    <w:rsid w:val="00692572"/>
    <w:rsid w:val="0069267F"/>
    <w:rsid w:val="00692AA7"/>
    <w:rsid w:val="00692ADE"/>
    <w:rsid w:val="00692B86"/>
    <w:rsid w:val="00692CF9"/>
    <w:rsid w:val="00692D6C"/>
    <w:rsid w:val="00692E2F"/>
    <w:rsid w:val="00693102"/>
    <w:rsid w:val="00693150"/>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150"/>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57"/>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41E"/>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B6"/>
    <w:rsid w:val="006E39AE"/>
    <w:rsid w:val="006E3CD5"/>
    <w:rsid w:val="006E3D07"/>
    <w:rsid w:val="006E3EF7"/>
    <w:rsid w:val="006E3FFB"/>
    <w:rsid w:val="006E466F"/>
    <w:rsid w:val="006E489E"/>
    <w:rsid w:val="006E4F12"/>
    <w:rsid w:val="006E551F"/>
    <w:rsid w:val="006E6188"/>
    <w:rsid w:val="006E61F3"/>
    <w:rsid w:val="006E66F2"/>
    <w:rsid w:val="006E6D75"/>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39"/>
    <w:rsid w:val="0071637E"/>
    <w:rsid w:val="0071672E"/>
    <w:rsid w:val="007169B9"/>
    <w:rsid w:val="007169C9"/>
    <w:rsid w:val="00716E35"/>
    <w:rsid w:val="007170A9"/>
    <w:rsid w:val="007171CF"/>
    <w:rsid w:val="0071775A"/>
    <w:rsid w:val="0071792B"/>
    <w:rsid w:val="00717A7F"/>
    <w:rsid w:val="00717E58"/>
    <w:rsid w:val="00717E63"/>
    <w:rsid w:val="0072019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F5"/>
    <w:rsid w:val="0072496E"/>
    <w:rsid w:val="007249E6"/>
    <w:rsid w:val="00724A7D"/>
    <w:rsid w:val="00724A83"/>
    <w:rsid w:val="00724C01"/>
    <w:rsid w:val="007255AE"/>
    <w:rsid w:val="0072561F"/>
    <w:rsid w:val="00725639"/>
    <w:rsid w:val="007256F4"/>
    <w:rsid w:val="007258BB"/>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E71"/>
    <w:rsid w:val="00733219"/>
    <w:rsid w:val="007334A3"/>
    <w:rsid w:val="007334C5"/>
    <w:rsid w:val="00733A14"/>
    <w:rsid w:val="00734A5A"/>
    <w:rsid w:val="00734B26"/>
    <w:rsid w:val="00734D12"/>
    <w:rsid w:val="0073516F"/>
    <w:rsid w:val="007352C7"/>
    <w:rsid w:val="007353C9"/>
    <w:rsid w:val="00735E69"/>
    <w:rsid w:val="00736871"/>
    <w:rsid w:val="00736888"/>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51"/>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8B"/>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635"/>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47A"/>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3A6"/>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D22"/>
    <w:rsid w:val="007C3F4C"/>
    <w:rsid w:val="007C4053"/>
    <w:rsid w:val="007C4201"/>
    <w:rsid w:val="007C4C79"/>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FD0"/>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CA3"/>
    <w:rsid w:val="007E3DBB"/>
    <w:rsid w:val="007E3F3D"/>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9AB"/>
    <w:rsid w:val="007F1CBA"/>
    <w:rsid w:val="007F2471"/>
    <w:rsid w:val="007F27A2"/>
    <w:rsid w:val="007F284E"/>
    <w:rsid w:val="007F2A38"/>
    <w:rsid w:val="007F311B"/>
    <w:rsid w:val="007F343C"/>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11"/>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120"/>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E5B"/>
    <w:rsid w:val="00825F31"/>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644"/>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541"/>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9DC"/>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4B6E"/>
    <w:rsid w:val="0086665A"/>
    <w:rsid w:val="008667F8"/>
    <w:rsid w:val="0086693C"/>
    <w:rsid w:val="00866D5F"/>
    <w:rsid w:val="00866E26"/>
    <w:rsid w:val="0086780A"/>
    <w:rsid w:val="00867941"/>
    <w:rsid w:val="00867D8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540"/>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A43"/>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543"/>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FB0"/>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AD1"/>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4B5"/>
    <w:rsid w:val="008B74BE"/>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8DD"/>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2B"/>
    <w:rsid w:val="008E396B"/>
    <w:rsid w:val="008E3A6B"/>
    <w:rsid w:val="008E3AB4"/>
    <w:rsid w:val="008E3EA3"/>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95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63"/>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65A"/>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5EE"/>
    <w:rsid w:val="0095166F"/>
    <w:rsid w:val="009517C5"/>
    <w:rsid w:val="0095187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24"/>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E"/>
    <w:rsid w:val="009763B2"/>
    <w:rsid w:val="009764FD"/>
    <w:rsid w:val="0097661B"/>
    <w:rsid w:val="00976AC6"/>
    <w:rsid w:val="00976BCF"/>
    <w:rsid w:val="009770BE"/>
    <w:rsid w:val="009770C1"/>
    <w:rsid w:val="00977C08"/>
    <w:rsid w:val="00977CCB"/>
    <w:rsid w:val="00977D9D"/>
    <w:rsid w:val="00980834"/>
    <w:rsid w:val="009809E7"/>
    <w:rsid w:val="00980EF2"/>
    <w:rsid w:val="0098123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90"/>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23"/>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CAE"/>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4F0F"/>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51"/>
    <w:rsid w:val="009E5774"/>
    <w:rsid w:val="009E5A86"/>
    <w:rsid w:val="009E6101"/>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99C"/>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971"/>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F9D"/>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2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7B1"/>
    <w:rsid w:val="00A44808"/>
    <w:rsid w:val="00A44BA6"/>
    <w:rsid w:val="00A452E6"/>
    <w:rsid w:val="00A452ED"/>
    <w:rsid w:val="00A45496"/>
    <w:rsid w:val="00A4596F"/>
    <w:rsid w:val="00A45C0A"/>
    <w:rsid w:val="00A467D4"/>
    <w:rsid w:val="00A469CF"/>
    <w:rsid w:val="00A46DA9"/>
    <w:rsid w:val="00A471AF"/>
    <w:rsid w:val="00A4796C"/>
    <w:rsid w:val="00A47A2F"/>
    <w:rsid w:val="00A47D19"/>
    <w:rsid w:val="00A47E74"/>
    <w:rsid w:val="00A501C9"/>
    <w:rsid w:val="00A503FB"/>
    <w:rsid w:val="00A50B6B"/>
    <w:rsid w:val="00A51044"/>
    <w:rsid w:val="00A510CE"/>
    <w:rsid w:val="00A51357"/>
    <w:rsid w:val="00A514E3"/>
    <w:rsid w:val="00A51774"/>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608"/>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E56"/>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B3D"/>
    <w:rsid w:val="00AA1C83"/>
    <w:rsid w:val="00AA1DF8"/>
    <w:rsid w:val="00AA2114"/>
    <w:rsid w:val="00AA2317"/>
    <w:rsid w:val="00AA2AB2"/>
    <w:rsid w:val="00AA33A3"/>
    <w:rsid w:val="00AA3420"/>
    <w:rsid w:val="00AA3D1D"/>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801"/>
    <w:rsid w:val="00AC0AD6"/>
    <w:rsid w:val="00AC0B92"/>
    <w:rsid w:val="00AC0C5C"/>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A9"/>
    <w:rsid w:val="00AC4FD6"/>
    <w:rsid w:val="00AC5541"/>
    <w:rsid w:val="00AC563B"/>
    <w:rsid w:val="00AC5D2C"/>
    <w:rsid w:val="00AC60FC"/>
    <w:rsid w:val="00AC694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0E8"/>
    <w:rsid w:val="00AD51B8"/>
    <w:rsid w:val="00AD52A3"/>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4FE8"/>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3DD8"/>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742"/>
    <w:rsid w:val="00B00949"/>
    <w:rsid w:val="00B00A2F"/>
    <w:rsid w:val="00B017FB"/>
    <w:rsid w:val="00B01854"/>
    <w:rsid w:val="00B01DCB"/>
    <w:rsid w:val="00B023A9"/>
    <w:rsid w:val="00B02655"/>
    <w:rsid w:val="00B0270D"/>
    <w:rsid w:val="00B02CF5"/>
    <w:rsid w:val="00B02DA1"/>
    <w:rsid w:val="00B03303"/>
    <w:rsid w:val="00B0404F"/>
    <w:rsid w:val="00B041A9"/>
    <w:rsid w:val="00B04350"/>
    <w:rsid w:val="00B04440"/>
    <w:rsid w:val="00B04507"/>
    <w:rsid w:val="00B04B1A"/>
    <w:rsid w:val="00B04C1E"/>
    <w:rsid w:val="00B04E55"/>
    <w:rsid w:val="00B04FC2"/>
    <w:rsid w:val="00B053B9"/>
    <w:rsid w:val="00B0595C"/>
    <w:rsid w:val="00B05A03"/>
    <w:rsid w:val="00B060F4"/>
    <w:rsid w:val="00B06219"/>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268"/>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779"/>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383"/>
    <w:rsid w:val="00B276AD"/>
    <w:rsid w:val="00B276C8"/>
    <w:rsid w:val="00B2771B"/>
    <w:rsid w:val="00B277F6"/>
    <w:rsid w:val="00B27B7C"/>
    <w:rsid w:val="00B27EF3"/>
    <w:rsid w:val="00B30197"/>
    <w:rsid w:val="00B30252"/>
    <w:rsid w:val="00B30280"/>
    <w:rsid w:val="00B30737"/>
    <w:rsid w:val="00B3084E"/>
    <w:rsid w:val="00B30B26"/>
    <w:rsid w:val="00B30F20"/>
    <w:rsid w:val="00B31067"/>
    <w:rsid w:val="00B31620"/>
    <w:rsid w:val="00B31951"/>
    <w:rsid w:val="00B31FA6"/>
    <w:rsid w:val="00B32087"/>
    <w:rsid w:val="00B320F3"/>
    <w:rsid w:val="00B3212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A5"/>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AD"/>
    <w:rsid w:val="00B4773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7F9"/>
    <w:rsid w:val="00B72A4C"/>
    <w:rsid w:val="00B72B9A"/>
    <w:rsid w:val="00B737CC"/>
    <w:rsid w:val="00B73CBB"/>
    <w:rsid w:val="00B73EA1"/>
    <w:rsid w:val="00B73F7A"/>
    <w:rsid w:val="00B74407"/>
    <w:rsid w:val="00B74A5F"/>
    <w:rsid w:val="00B75806"/>
    <w:rsid w:val="00B75F11"/>
    <w:rsid w:val="00B764E3"/>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3C2"/>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70"/>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1E"/>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2E73"/>
    <w:rsid w:val="00BC30B7"/>
    <w:rsid w:val="00BC3587"/>
    <w:rsid w:val="00BC370F"/>
    <w:rsid w:val="00BC39E8"/>
    <w:rsid w:val="00BC41A0"/>
    <w:rsid w:val="00BC4424"/>
    <w:rsid w:val="00BC495A"/>
    <w:rsid w:val="00BC5416"/>
    <w:rsid w:val="00BC56B9"/>
    <w:rsid w:val="00BC6320"/>
    <w:rsid w:val="00BC64A7"/>
    <w:rsid w:val="00BC657B"/>
    <w:rsid w:val="00BC6D6B"/>
    <w:rsid w:val="00BC71BD"/>
    <w:rsid w:val="00BC72F0"/>
    <w:rsid w:val="00BC7385"/>
    <w:rsid w:val="00BC77CB"/>
    <w:rsid w:val="00BC785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C7F"/>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C8"/>
    <w:rsid w:val="00BE2FEA"/>
    <w:rsid w:val="00BE34B8"/>
    <w:rsid w:val="00BE3F78"/>
    <w:rsid w:val="00BE3F9A"/>
    <w:rsid w:val="00BE3FE9"/>
    <w:rsid w:val="00BE4296"/>
    <w:rsid w:val="00BE42DA"/>
    <w:rsid w:val="00BE43CA"/>
    <w:rsid w:val="00BE44CF"/>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232"/>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AB9"/>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96A"/>
    <w:rsid w:val="00C03C8B"/>
    <w:rsid w:val="00C03CD0"/>
    <w:rsid w:val="00C04002"/>
    <w:rsid w:val="00C04394"/>
    <w:rsid w:val="00C04459"/>
    <w:rsid w:val="00C047A2"/>
    <w:rsid w:val="00C04CD2"/>
    <w:rsid w:val="00C053EB"/>
    <w:rsid w:val="00C058A3"/>
    <w:rsid w:val="00C05C4D"/>
    <w:rsid w:val="00C05D6C"/>
    <w:rsid w:val="00C066B5"/>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AF1"/>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4A"/>
    <w:rsid w:val="00C20205"/>
    <w:rsid w:val="00C20568"/>
    <w:rsid w:val="00C209BF"/>
    <w:rsid w:val="00C20A15"/>
    <w:rsid w:val="00C20E1E"/>
    <w:rsid w:val="00C21254"/>
    <w:rsid w:val="00C2162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A32"/>
    <w:rsid w:val="00C25FE6"/>
    <w:rsid w:val="00C26313"/>
    <w:rsid w:val="00C26416"/>
    <w:rsid w:val="00C26699"/>
    <w:rsid w:val="00C266B3"/>
    <w:rsid w:val="00C2708F"/>
    <w:rsid w:val="00C27242"/>
    <w:rsid w:val="00C27BED"/>
    <w:rsid w:val="00C3060C"/>
    <w:rsid w:val="00C308E4"/>
    <w:rsid w:val="00C30EA7"/>
    <w:rsid w:val="00C31F8A"/>
    <w:rsid w:val="00C31FB1"/>
    <w:rsid w:val="00C32800"/>
    <w:rsid w:val="00C3284B"/>
    <w:rsid w:val="00C32CBC"/>
    <w:rsid w:val="00C32DFF"/>
    <w:rsid w:val="00C331F6"/>
    <w:rsid w:val="00C3320F"/>
    <w:rsid w:val="00C332B0"/>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4E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63D"/>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7F"/>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C2E"/>
    <w:rsid w:val="00C760FF"/>
    <w:rsid w:val="00C76384"/>
    <w:rsid w:val="00C766F6"/>
    <w:rsid w:val="00C7690F"/>
    <w:rsid w:val="00C76CF9"/>
    <w:rsid w:val="00C76F98"/>
    <w:rsid w:val="00C76FC8"/>
    <w:rsid w:val="00C777CB"/>
    <w:rsid w:val="00C7797D"/>
    <w:rsid w:val="00C804BD"/>
    <w:rsid w:val="00C80574"/>
    <w:rsid w:val="00C80958"/>
    <w:rsid w:val="00C80C24"/>
    <w:rsid w:val="00C80E40"/>
    <w:rsid w:val="00C8107D"/>
    <w:rsid w:val="00C81179"/>
    <w:rsid w:val="00C81455"/>
    <w:rsid w:val="00C814C3"/>
    <w:rsid w:val="00C81C8D"/>
    <w:rsid w:val="00C81EF5"/>
    <w:rsid w:val="00C82055"/>
    <w:rsid w:val="00C822F1"/>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3643"/>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47D"/>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5E4"/>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DF9"/>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707"/>
    <w:rsid w:val="00CF5988"/>
    <w:rsid w:val="00CF5FEF"/>
    <w:rsid w:val="00CF6305"/>
    <w:rsid w:val="00CF6427"/>
    <w:rsid w:val="00CF67B6"/>
    <w:rsid w:val="00CF6898"/>
    <w:rsid w:val="00CF6C05"/>
    <w:rsid w:val="00CF72E9"/>
    <w:rsid w:val="00CF7319"/>
    <w:rsid w:val="00CF73E0"/>
    <w:rsid w:val="00CF7970"/>
    <w:rsid w:val="00CF79C9"/>
    <w:rsid w:val="00D00601"/>
    <w:rsid w:val="00D007CE"/>
    <w:rsid w:val="00D00DF6"/>
    <w:rsid w:val="00D01829"/>
    <w:rsid w:val="00D01A20"/>
    <w:rsid w:val="00D01F0A"/>
    <w:rsid w:val="00D01FDD"/>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BE9"/>
    <w:rsid w:val="00D061D1"/>
    <w:rsid w:val="00D06506"/>
    <w:rsid w:val="00D07A8C"/>
    <w:rsid w:val="00D07AAA"/>
    <w:rsid w:val="00D07FB0"/>
    <w:rsid w:val="00D10206"/>
    <w:rsid w:val="00D1055D"/>
    <w:rsid w:val="00D10583"/>
    <w:rsid w:val="00D108AC"/>
    <w:rsid w:val="00D108B2"/>
    <w:rsid w:val="00D10B2A"/>
    <w:rsid w:val="00D10D2E"/>
    <w:rsid w:val="00D10FF9"/>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0FE7"/>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245"/>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39"/>
    <w:rsid w:val="00D56E4E"/>
    <w:rsid w:val="00D56F0A"/>
    <w:rsid w:val="00D5773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B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23A"/>
    <w:rsid w:val="00D86390"/>
    <w:rsid w:val="00D86911"/>
    <w:rsid w:val="00D86D10"/>
    <w:rsid w:val="00D87183"/>
    <w:rsid w:val="00D87ADD"/>
    <w:rsid w:val="00D87CCF"/>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0FB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9DE"/>
    <w:rsid w:val="00DA4ADA"/>
    <w:rsid w:val="00DA4F56"/>
    <w:rsid w:val="00DA5108"/>
    <w:rsid w:val="00DA52B3"/>
    <w:rsid w:val="00DA5370"/>
    <w:rsid w:val="00DA554C"/>
    <w:rsid w:val="00DA589C"/>
    <w:rsid w:val="00DA6337"/>
    <w:rsid w:val="00DA6581"/>
    <w:rsid w:val="00DA6B41"/>
    <w:rsid w:val="00DA713C"/>
    <w:rsid w:val="00DA7770"/>
    <w:rsid w:val="00DA78E3"/>
    <w:rsid w:val="00DB038E"/>
    <w:rsid w:val="00DB045D"/>
    <w:rsid w:val="00DB0D49"/>
    <w:rsid w:val="00DB0EDF"/>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601"/>
    <w:rsid w:val="00DB67D6"/>
    <w:rsid w:val="00DB6859"/>
    <w:rsid w:val="00DB6D3B"/>
    <w:rsid w:val="00DB6E52"/>
    <w:rsid w:val="00DB7804"/>
    <w:rsid w:val="00DB782C"/>
    <w:rsid w:val="00DC0203"/>
    <w:rsid w:val="00DC0653"/>
    <w:rsid w:val="00DC0898"/>
    <w:rsid w:val="00DC10E6"/>
    <w:rsid w:val="00DC1A6E"/>
    <w:rsid w:val="00DC1A90"/>
    <w:rsid w:val="00DC1F58"/>
    <w:rsid w:val="00DC211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9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03"/>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7D0"/>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15C"/>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36"/>
    <w:rsid w:val="00E07F51"/>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21C"/>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361"/>
    <w:rsid w:val="00E236AB"/>
    <w:rsid w:val="00E236F5"/>
    <w:rsid w:val="00E237B9"/>
    <w:rsid w:val="00E23B86"/>
    <w:rsid w:val="00E23E7A"/>
    <w:rsid w:val="00E24088"/>
    <w:rsid w:val="00E242A7"/>
    <w:rsid w:val="00E243E9"/>
    <w:rsid w:val="00E2440E"/>
    <w:rsid w:val="00E24998"/>
    <w:rsid w:val="00E249BB"/>
    <w:rsid w:val="00E249E9"/>
    <w:rsid w:val="00E25AB5"/>
    <w:rsid w:val="00E25FF6"/>
    <w:rsid w:val="00E26014"/>
    <w:rsid w:val="00E26138"/>
    <w:rsid w:val="00E262BC"/>
    <w:rsid w:val="00E2652E"/>
    <w:rsid w:val="00E2669E"/>
    <w:rsid w:val="00E267FA"/>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8D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FB"/>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79B"/>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AF9"/>
    <w:rsid w:val="00E54A05"/>
    <w:rsid w:val="00E54A2C"/>
    <w:rsid w:val="00E54DFA"/>
    <w:rsid w:val="00E54EB8"/>
    <w:rsid w:val="00E55A67"/>
    <w:rsid w:val="00E55A82"/>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5E20"/>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1F9B"/>
    <w:rsid w:val="00E721C7"/>
    <w:rsid w:val="00E7261C"/>
    <w:rsid w:val="00E72682"/>
    <w:rsid w:val="00E72810"/>
    <w:rsid w:val="00E7385D"/>
    <w:rsid w:val="00E739E3"/>
    <w:rsid w:val="00E73C6D"/>
    <w:rsid w:val="00E7444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44"/>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49F"/>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C14"/>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2B4"/>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58"/>
    <w:rsid w:val="00EB7C67"/>
    <w:rsid w:val="00EB7FD9"/>
    <w:rsid w:val="00EC0004"/>
    <w:rsid w:val="00EC052E"/>
    <w:rsid w:val="00EC0EE7"/>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B5E"/>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F38"/>
    <w:rsid w:val="00F102EE"/>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244"/>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305"/>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846"/>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3BA"/>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735"/>
    <w:rsid w:val="00F66CF1"/>
    <w:rsid w:val="00F671E7"/>
    <w:rsid w:val="00F673AA"/>
    <w:rsid w:val="00F677A7"/>
    <w:rsid w:val="00F67D83"/>
    <w:rsid w:val="00F67DA1"/>
    <w:rsid w:val="00F67F4C"/>
    <w:rsid w:val="00F700A4"/>
    <w:rsid w:val="00F70179"/>
    <w:rsid w:val="00F70210"/>
    <w:rsid w:val="00F703F2"/>
    <w:rsid w:val="00F707A9"/>
    <w:rsid w:val="00F70895"/>
    <w:rsid w:val="00F7095E"/>
    <w:rsid w:val="00F709DD"/>
    <w:rsid w:val="00F70B33"/>
    <w:rsid w:val="00F70C94"/>
    <w:rsid w:val="00F70E78"/>
    <w:rsid w:val="00F711B8"/>
    <w:rsid w:val="00F714F6"/>
    <w:rsid w:val="00F7164D"/>
    <w:rsid w:val="00F71710"/>
    <w:rsid w:val="00F7180B"/>
    <w:rsid w:val="00F7196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50"/>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1D"/>
    <w:rsid w:val="00F959E5"/>
    <w:rsid w:val="00F95E6D"/>
    <w:rsid w:val="00F95F17"/>
    <w:rsid w:val="00F962D9"/>
    <w:rsid w:val="00F9744A"/>
    <w:rsid w:val="00F97638"/>
    <w:rsid w:val="00F97904"/>
    <w:rsid w:val="00F97B14"/>
    <w:rsid w:val="00F97F7B"/>
    <w:rsid w:val="00F97FF5"/>
    <w:rsid w:val="00FA0046"/>
    <w:rsid w:val="00FA04C6"/>
    <w:rsid w:val="00FA0972"/>
    <w:rsid w:val="00FA0F51"/>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8A"/>
    <w:rsid w:val="00FC36BD"/>
    <w:rsid w:val="00FC3BAC"/>
    <w:rsid w:val="00FC3E33"/>
    <w:rsid w:val="00FC3E3B"/>
    <w:rsid w:val="00FC469E"/>
    <w:rsid w:val="00FC4DE2"/>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6A"/>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0A6"/>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D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D82"/>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列表段落1,¥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列表段落1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01472">
      <w:bodyDiv w:val="1"/>
      <w:marLeft w:val="0"/>
      <w:marRight w:val="0"/>
      <w:marTop w:val="0"/>
      <w:marBottom w:val="0"/>
      <w:divBdr>
        <w:top w:val="none" w:sz="0" w:space="0" w:color="auto"/>
        <w:left w:val="none" w:sz="0" w:space="0" w:color="auto"/>
        <w:bottom w:val="none" w:sz="0" w:space="0" w:color="auto"/>
        <w:right w:val="none" w:sz="0" w:space="0" w:color="auto"/>
      </w:divBdr>
      <w:divsChild>
        <w:div w:id="700204184">
          <w:marLeft w:val="1166"/>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9394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019821">
      <w:bodyDiv w:val="1"/>
      <w:marLeft w:val="0"/>
      <w:marRight w:val="0"/>
      <w:marTop w:val="0"/>
      <w:marBottom w:val="0"/>
      <w:divBdr>
        <w:top w:val="none" w:sz="0" w:space="0" w:color="auto"/>
        <w:left w:val="none" w:sz="0" w:space="0" w:color="auto"/>
        <w:bottom w:val="none" w:sz="0" w:space="0" w:color="auto"/>
        <w:right w:val="none" w:sz="0" w:space="0" w:color="auto"/>
      </w:divBdr>
      <w:divsChild>
        <w:div w:id="438722099">
          <w:marLeft w:val="1166"/>
          <w:marRight w:val="0"/>
          <w:marTop w:val="12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E133A-BB1E-4E09-8223-199FC163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1263</Words>
  <Characters>6943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2019-11-07T09:27:00Z</dcterms:created>
  <dcterms:modified xsi:type="dcterms:W3CDTF">2019-11-08T10:37:00Z</dcterms:modified>
</cp:coreProperties>
</file>